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94314" w14:textId="63FF7157" w:rsidR="00AA22E9" w:rsidRDefault="00AA22E9" w:rsidP="00AA22E9">
      <w:pPr>
        <w:pStyle w:val="BT0"/>
        <w:rPr>
          <w:sz w:val="32"/>
        </w:rPr>
      </w:pPr>
      <w:r>
        <w:rPr>
          <w:sz w:val="32"/>
        </w:rPr>
        <w:t>Supplementary Material</w:t>
      </w:r>
    </w:p>
    <w:p w14:paraId="1851D3EA" w14:textId="77777777" w:rsidR="00AA22E9" w:rsidRDefault="00AA22E9" w:rsidP="00AA22E9">
      <w:pPr>
        <w:spacing w:line="480" w:lineRule="auto"/>
        <w:jc w:val="left"/>
        <w:rPr>
          <w:rFonts w:hint="eastAsia"/>
          <w:b/>
          <w:bCs/>
          <w:sz w:val="36"/>
          <w:szCs w:val="36"/>
        </w:rPr>
      </w:pPr>
    </w:p>
    <w:p w14:paraId="7F94915B" w14:textId="77777777" w:rsidR="00AA22E9" w:rsidRDefault="00AA22E9" w:rsidP="00AA22E9">
      <w:pPr>
        <w:spacing w:line="480" w:lineRule="auto"/>
        <w:jc w:val="left"/>
        <w:rPr>
          <w:rFonts w:hint="eastAsia"/>
          <w:b/>
          <w:bCs/>
          <w:sz w:val="36"/>
          <w:szCs w:val="36"/>
        </w:rPr>
      </w:pPr>
    </w:p>
    <w:p w14:paraId="45AA5F32" w14:textId="77777777" w:rsidR="00AC0F8E" w:rsidRPr="00FA5901" w:rsidRDefault="00AC0F8E" w:rsidP="00AA22E9">
      <w:pPr>
        <w:spacing w:line="480" w:lineRule="auto"/>
        <w:jc w:val="left"/>
        <w:rPr>
          <w:rFonts w:ascii="Times New Roman" w:hAnsi="Times New Roman" w:cs="Times New Roman"/>
          <w:b/>
          <w:bCs/>
          <w:sz w:val="36"/>
          <w:szCs w:val="36"/>
        </w:rPr>
      </w:pPr>
    </w:p>
    <w:p w14:paraId="0FFCB20D" w14:textId="77777777" w:rsidR="00A44A0C" w:rsidRPr="00A44A0C" w:rsidRDefault="00A44A0C" w:rsidP="00A44A0C">
      <w:pPr>
        <w:spacing w:line="480" w:lineRule="auto"/>
        <w:rPr>
          <w:rFonts w:ascii="Times New Roman" w:hAnsi="Times New Roman" w:cs="Times New Roman"/>
          <w:b/>
          <w:bCs/>
          <w:sz w:val="36"/>
          <w:szCs w:val="36"/>
        </w:rPr>
      </w:pPr>
      <w:bookmarkStart w:id="0" w:name="_Hlk174372172"/>
      <w:bookmarkStart w:id="1" w:name="_Hlk174360142"/>
      <w:r w:rsidRPr="00A44A0C">
        <w:rPr>
          <w:rFonts w:ascii="Times New Roman" w:hAnsi="Times New Roman" w:cs="Times New Roman"/>
          <w:b/>
          <w:bCs/>
          <w:sz w:val="36"/>
          <w:szCs w:val="36"/>
        </w:rPr>
        <w:t>Cellular Uptake and Distribution of Black Phosphorus Nanosheets in A549 cells: Effects on Cellular Metabolism and Mitochondrial Function</w:t>
      </w:r>
    </w:p>
    <w:bookmarkEnd w:id="0"/>
    <w:p w14:paraId="6C47683F" w14:textId="77777777" w:rsidR="00A44A0C" w:rsidRPr="00A44A0C" w:rsidRDefault="00A44A0C" w:rsidP="00A44A0C">
      <w:pPr>
        <w:spacing w:line="480" w:lineRule="auto"/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14:paraId="0A773CB0" w14:textId="77777777" w:rsidR="00A44A0C" w:rsidRPr="00A44A0C" w:rsidRDefault="00A44A0C" w:rsidP="00A44A0C">
      <w:pPr>
        <w:jc w:val="left"/>
        <w:rPr>
          <w:rFonts w:ascii="Times New Roman" w:hAnsi="Times New Roman" w:cs="Times New Roman"/>
          <w:sz w:val="20"/>
          <w:szCs w:val="20"/>
        </w:rPr>
      </w:pPr>
      <w:r w:rsidRPr="00A44A0C">
        <w:rPr>
          <w:rFonts w:ascii="Times New Roman" w:hAnsi="Times New Roman" w:cs="Times New Roman"/>
          <w:sz w:val="20"/>
          <w:szCs w:val="20"/>
        </w:rPr>
        <w:t>Yunsong Xu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4A0C">
        <w:rPr>
          <w:rFonts w:ascii="Times New Roman" w:hAnsi="Times New Roman" w:cs="Times New Roman"/>
          <w:sz w:val="20"/>
          <w:szCs w:val="20"/>
        </w:rPr>
        <w:t>, Zhiyu Zhu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4A0C">
        <w:rPr>
          <w:rFonts w:ascii="Times New Roman" w:hAnsi="Times New Roman" w:cs="Times New Roman"/>
          <w:sz w:val="20"/>
          <w:szCs w:val="20"/>
        </w:rPr>
        <w:t>, Xiaoyan Sun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A44A0C">
        <w:rPr>
          <w:rFonts w:ascii="Times New Roman" w:hAnsi="Times New Roman" w:cs="Times New Roman"/>
          <w:sz w:val="20"/>
          <w:szCs w:val="20"/>
        </w:rPr>
        <w:t>, Kun Lu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3</w:t>
      </w:r>
      <w:r w:rsidRPr="00A44A0C">
        <w:rPr>
          <w:rFonts w:ascii="Times New Roman" w:hAnsi="Times New Roman" w:cs="Times New Roman"/>
          <w:sz w:val="20"/>
          <w:szCs w:val="20"/>
        </w:rPr>
        <w:t>, Shipeng Dong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4A0C">
        <w:rPr>
          <w:rFonts w:ascii="Times New Roman" w:hAnsi="Times New Roman" w:cs="Times New Roman"/>
          <w:sz w:val="20"/>
          <w:szCs w:val="20"/>
        </w:rPr>
        <w:t>, Boyang Huang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4A0C">
        <w:rPr>
          <w:rFonts w:ascii="Times New Roman" w:hAnsi="Times New Roman" w:cs="Times New Roman"/>
          <w:sz w:val="20"/>
          <w:szCs w:val="20"/>
        </w:rPr>
        <w:t>, Pengfei Xue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A44A0C">
        <w:rPr>
          <w:rFonts w:ascii="Times New Roman" w:hAnsi="Times New Roman" w:cs="Times New Roman"/>
          <w:sz w:val="20"/>
          <w:szCs w:val="20"/>
        </w:rPr>
        <w:t>, Liuqing Zhao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A44A0C">
        <w:rPr>
          <w:rFonts w:ascii="Times New Roman" w:hAnsi="Times New Roman" w:cs="Times New Roman"/>
          <w:sz w:val="20"/>
          <w:szCs w:val="20"/>
        </w:rPr>
        <w:t>, Zong Yang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4</w:t>
      </w:r>
      <w:r w:rsidRPr="00A44A0C">
        <w:rPr>
          <w:rFonts w:ascii="Times New Roman" w:hAnsi="Times New Roman" w:cs="Times New Roman"/>
          <w:sz w:val="20"/>
          <w:szCs w:val="20"/>
        </w:rPr>
        <w:t>, Liang Mao</w:t>
      </w:r>
      <w:r w:rsidRPr="00A44A0C">
        <w:rPr>
          <w:rFonts w:ascii="Times New Roman" w:hAnsi="Times New Roman" w:cs="Times New Roman"/>
          <w:sz w:val="20"/>
          <w:szCs w:val="20"/>
          <w:vertAlign w:val="superscript"/>
        </w:rPr>
        <w:t>1,</w:t>
      </w:r>
      <w:r w:rsidRPr="00A44A0C">
        <w:rPr>
          <w:rFonts w:ascii="Times New Roman" w:hAnsi="Times New Roman" w:cs="Times New Roman"/>
          <w:sz w:val="20"/>
          <w:szCs w:val="20"/>
        </w:rPr>
        <w:t xml:space="preserve"> *</w:t>
      </w:r>
    </w:p>
    <w:p w14:paraId="1B5FF2E6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position w:val="7"/>
          <w:sz w:val="18"/>
          <w:szCs w:val="18"/>
        </w:rPr>
      </w:pPr>
    </w:p>
    <w:p w14:paraId="4AF6158E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position w:val="7"/>
          <w:sz w:val="18"/>
          <w:szCs w:val="18"/>
        </w:rPr>
      </w:pPr>
    </w:p>
    <w:p w14:paraId="5DA5C4AC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i/>
          <w:iCs/>
          <w:sz w:val="18"/>
          <w:szCs w:val="18"/>
        </w:rPr>
      </w:pPr>
      <w:r w:rsidRPr="00A44A0C">
        <w:rPr>
          <w:b/>
          <w:bCs/>
          <w:i/>
          <w:iCs/>
          <w:sz w:val="18"/>
          <w:szCs w:val="18"/>
          <w:vertAlign w:val="superscript"/>
        </w:rPr>
        <w:t>1</w:t>
      </w:r>
      <w:r w:rsidRPr="00A44A0C">
        <w:rPr>
          <w:i/>
          <w:iCs/>
          <w:sz w:val="18"/>
          <w:szCs w:val="18"/>
        </w:rPr>
        <w:t>State Key Laboratory of Pollution Control and Resource Reuse, School of the Environment,</w:t>
      </w:r>
      <w:r w:rsidRPr="00A44A0C">
        <w:rPr>
          <w:i/>
          <w:iCs/>
          <w:sz w:val="18"/>
          <w:szCs w:val="18"/>
          <w:lang w:val="de-DE"/>
        </w:rPr>
        <w:t xml:space="preserve"> </w:t>
      </w:r>
      <w:r w:rsidRPr="00A44A0C">
        <w:rPr>
          <w:i/>
          <w:iCs/>
          <w:sz w:val="18"/>
          <w:szCs w:val="18"/>
        </w:rPr>
        <w:t>Chemistry and Biomedicine Innovation Center, Nanjing University, Nanjing 210093, China</w:t>
      </w:r>
      <w:bookmarkStart w:id="2" w:name="bookmark1"/>
      <w:bookmarkEnd w:id="2"/>
    </w:p>
    <w:p w14:paraId="3B76DD64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i/>
          <w:iCs/>
          <w:sz w:val="18"/>
          <w:szCs w:val="18"/>
        </w:rPr>
      </w:pPr>
      <w:r w:rsidRPr="00A44A0C">
        <w:rPr>
          <w:i/>
          <w:iCs/>
          <w:sz w:val="18"/>
          <w:szCs w:val="18"/>
          <w:vertAlign w:val="superscript"/>
        </w:rPr>
        <w:t>2</w:t>
      </w:r>
      <w:r w:rsidRPr="00A44A0C">
        <w:rPr>
          <w:i/>
          <w:iCs/>
          <w:sz w:val="18"/>
          <w:szCs w:val="18"/>
        </w:rPr>
        <w:t xml:space="preserve"> Nanjing Qixia District Hospital, Nanjing 210033, China</w:t>
      </w:r>
    </w:p>
    <w:p w14:paraId="5A18162D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i/>
          <w:iCs/>
          <w:sz w:val="18"/>
          <w:szCs w:val="18"/>
        </w:rPr>
      </w:pPr>
      <w:r w:rsidRPr="00A44A0C">
        <w:rPr>
          <w:b/>
          <w:bCs/>
          <w:i/>
          <w:iCs/>
          <w:sz w:val="18"/>
          <w:szCs w:val="18"/>
          <w:vertAlign w:val="superscript"/>
        </w:rPr>
        <w:t>3</w:t>
      </w:r>
      <w:r w:rsidRPr="00A44A0C">
        <w:rPr>
          <w:i/>
          <w:iCs/>
          <w:sz w:val="18"/>
          <w:szCs w:val="18"/>
        </w:rPr>
        <w:t>School of Environmental Science and Engineering, Zhejiang Gongshang University, Hangzhou 310018, China</w:t>
      </w:r>
    </w:p>
    <w:p w14:paraId="691795CF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i/>
          <w:iCs/>
          <w:position w:val="7"/>
          <w:sz w:val="18"/>
          <w:szCs w:val="18"/>
        </w:rPr>
      </w:pPr>
      <w:r w:rsidRPr="00A44A0C">
        <w:rPr>
          <w:b/>
          <w:bCs/>
          <w:i/>
          <w:iCs/>
          <w:position w:val="7"/>
          <w:sz w:val="18"/>
          <w:szCs w:val="18"/>
          <w:vertAlign w:val="superscript"/>
        </w:rPr>
        <w:t>4</w:t>
      </w:r>
      <w:r w:rsidRPr="00A44A0C">
        <w:rPr>
          <w:i/>
          <w:iCs/>
          <w:position w:val="7"/>
          <w:sz w:val="18"/>
          <w:szCs w:val="18"/>
        </w:rPr>
        <w:t>SCIEX, Analytical Instrument Trading Co., Ltd., Shanghai 201100, China</w:t>
      </w:r>
    </w:p>
    <w:p w14:paraId="48DB21C1" w14:textId="77777777" w:rsidR="00A44A0C" w:rsidRPr="00A44A0C" w:rsidRDefault="00A44A0C" w:rsidP="00A44A0C">
      <w:pPr>
        <w:pStyle w:val="a9"/>
        <w:kinsoku w:val="0"/>
        <w:overflowPunct w:val="0"/>
        <w:ind w:left="0"/>
        <w:rPr>
          <w:i/>
          <w:iCs/>
          <w:position w:val="7"/>
          <w:sz w:val="18"/>
          <w:szCs w:val="18"/>
        </w:rPr>
      </w:pPr>
    </w:p>
    <w:p w14:paraId="19AAD71C" w14:textId="716DCE24" w:rsidR="00A44A0C" w:rsidRPr="00A44A0C" w:rsidRDefault="00A44A0C" w:rsidP="00A44A0C">
      <w:pPr>
        <w:pStyle w:val="a9"/>
        <w:kinsoku w:val="0"/>
        <w:overflowPunct w:val="0"/>
        <w:ind w:left="0"/>
        <w:rPr>
          <w:color w:val="000000"/>
          <w:sz w:val="16"/>
          <w:szCs w:val="16"/>
        </w:rPr>
      </w:pPr>
      <w:r w:rsidRPr="00A44A0C">
        <w:rPr>
          <w:sz w:val="16"/>
          <w:szCs w:val="16"/>
        </w:rPr>
        <w:t>*Corresponding</w:t>
      </w:r>
      <w:r w:rsidRPr="00A44A0C">
        <w:rPr>
          <w:spacing w:val="9"/>
          <w:sz w:val="16"/>
          <w:szCs w:val="16"/>
        </w:rPr>
        <w:t xml:space="preserve"> </w:t>
      </w:r>
      <w:r w:rsidR="005B1877" w:rsidRPr="001454A4">
        <w:rPr>
          <w:sz w:val="16"/>
          <w:szCs w:val="16"/>
        </w:rPr>
        <w:t>author</w:t>
      </w:r>
      <w:r w:rsidR="005B1877">
        <w:rPr>
          <w:sz w:val="16"/>
          <w:szCs w:val="16"/>
        </w:rPr>
        <w:t xml:space="preserve">: </w:t>
      </w:r>
      <w:r w:rsidR="005B1877" w:rsidRPr="001454A4">
        <w:rPr>
          <w:color w:val="000000"/>
          <w:sz w:val="16"/>
          <w:szCs w:val="16"/>
        </w:rPr>
        <w:t>Liang Mao</w:t>
      </w:r>
      <w:r w:rsidR="005B1877">
        <w:rPr>
          <w:color w:val="000000"/>
          <w:sz w:val="16"/>
          <w:szCs w:val="16"/>
        </w:rPr>
        <w:t>,</w:t>
      </w:r>
      <w:r w:rsidR="005B1877" w:rsidRPr="001454A4">
        <w:rPr>
          <w:spacing w:val="9"/>
          <w:sz w:val="16"/>
          <w:szCs w:val="16"/>
        </w:rPr>
        <w:t xml:space="preserve"> </w:t>
      </w:r>
      <w:r w:rsidR="005B1877">
        <w:rPr>
          <w:sz w:val="16"/>
          <w:szCs w:val="16"/>
        </w:rPr>
        <w:t>E</w:t>
      </w:r>
      <w:r w:rsidR="005B1877" w:rsidRPr="001454A4">
        <w:rPr>
          <w:sz w:val="16"/>
          <w:szCs w:val="16"/>
        </w:rPr>
        <w:t>mail:</w:t>
      </w:r>
      <w:r w:rsidR="005B1877" w:rsidRPr="001454A4">
        <w:rPr>
          <w:spacing w:val="9"/>
          <w:sz w:val="16"/>
          <w:szCs w:val="16"/>
        </w:rPr>
        <w:t xml:space="preserve"> </w:t>
      </w:r>
      <w:r w:rsidR="005B1877" w:rsidRPr="001454A4">
        <w:rPr>
          <w:color w:val="0000CC"/>
          <w:sz w:val="16"/>
          <w:szCs w:val="16"/>
          <w:u w:val="single"/>
        </w:rPr>
        <w:t>lmao@nju.edu.cn</w:t>
      </w:r>
    </w:p>
    <w:bookmarkEnd w:id="1"/>
    <w:p w14:paraId="5028A065" w14:textId="77777777" w:rsidR="00471D0B" w:rsidRPr="00A44A0C" w:rsidRDefault="00471D0B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72C76492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1283C8F8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6DD2335B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5E92FEEA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6582357D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069F74B1" w14:textId="77777777" w:rsidR="00AA22E9" w:rsidRDefault="00AA22E9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3BBD0EB8" w14:textId="77777777" w:rsidR="00A44A0C" w:rsidRDefault="00A44A0C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79ADFB6C" w14:textId="77777777" w:rsidR="00AA22E9" w:rsidRDefault="00AA22E9">
      <w:pPr>
        <w:spacing w:line="360" w:lineRule="auto"/>
        <w:jc w:val="left"/>
        <w:rPr>
          <w:rFonts w:hint="eastAsia"/>
          <w:b/>
          <w:caps/>
        </w:rPr>
      </w:pPr>
    </w:p>
    <w:p w14:paraId="521A8250" w14:textId="404A4C03" w:rsidR="003C2303" w:rsidRDefault="00AA22E9" w:rsidP="00AC0F8E">
      <w:pPr>
        <w:spacing w:line="360" w:lineRule="auto"/>
        <w:jc w:val="left"/>
        <w:rPr>
          <w:rFonts w:ascii="Times New Roman" w:hAnsi="Times New Roman" w:cs="Times New Roman"/>
          <w:b/>
          <w:sz w:val="22"/>
        </w:rPr>
      </w:pPr>
      <w:r w:rsidRPr="00AA22E9">
        <w:rPr>
          <w:rFonts w:ascii="Times New Roman" w:hAnsi="Times New Roman" w:cs="Times New Roman"/>
          <w:b/>
          <w:caps/>
          <w:sz w:val="22"/>
        </w:rPr>
        <w:lastRenderedPageBreak/>
        <w:t>Information About ELECTRONIC SUPPLEMENTARY MATERIAL</w:t>
      </w:r>
    </w:p>
    <w:p w14:paraId="6DDEE53D" w14:textId="77777777" w:rsidR="00AC0F8E" w:rsidRDefault="00AC0F8E" w:rsidP="00AC0F8E">
      <w:pPr>
        <w:spacing w:line="360" w:lineRule="auto"/>
        <w:jc w:val="left"/>
        <w:rPr>
          <w:rFonts w:ascii="Times New Roman" w:hAnsi="Times New Roman" w:cs="Times New Roman"/>
          <w:b/>
          <w:sz w:val="22"/>
        </w:rPr>
      </w:pPr>
    </w:p>
    <w:p w14:paraId="55510E27" w14:textId="77777777" w:rsidR="00E80152" w:rsidRPr="00AC0F8E" w:rsidRDefault="00E80152" w:rsidP="00AC0F8E">
      <w:pPr>
        <w:spacing w:line="360" w:lineRule="auto"/>
        <w:jc w:val="left"/>
        <w:rPr>
          <w:rFonts w:ascii="Times New Roman" w:hAnsi="Times New Roman" w:cs="Times New Roman"/>
          <w:b/>
          <w:sz w:val="22"/>
        </w:rPr>
      </w:pPr>
    </w:p>
    <w:p w14:paraId="1A5471B7" w14:textId="154F2BDB" w:rsidR="003C2303" w:rsidRPr="00633B83" w:rsidRDefault="003C2303" w:rsidP="00AA22E9">
      <w:pPr>
        <w:pStyle w:val="3"/>
        <w:spacing w:before="0"/>
        <w:rPr>
          <w:rFonts w:eastAsiaTheme="minorEastAsia"/>
        </w:rPr>
      </w:pPr>
      <w:r w:rsidRPr="003E4FBA">
        <w:t>FITC loading and fluorescence stability of BPNS-BSA-FITC</w:t>
      </w:r>
    </w:p>
    <w:p w14:paraId="2AA65560" w14:textId="4A9162DE" w:rsidR="003C2303" w:rsidRPr="003E4FBA" w:rsidRDefault="003C2303" w:rsidP="003C2303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E4FBA">
        <w:rPr>
          <w:rFonts w:ascii="Times New Roman" w:hAnsi="Times New Roman" w:cs="Times New Roman"/>
          <w:sz w:val="24"/>
          <w:szCs w:val="24"/>
        </w:rPr>
        <w:t>To explore the FITC loading of LBPNS-BSA-FITC and SBPNS-BSA-FITC, firstly, a standard curve correlating the concentration of BSA-FITC with UV-Vis absorbance needs to be established using the VARIAN Cary 50 Conc UV-Vis spectrophotometer (Agilent Company, America). Subsequently, the LBPNS-BSA-FITC or SBPNS-BSA-FITC (100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μg) obtained during the preparation process, before washing,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centrifuged twice at 12000 rpm. The UV absorbance at 490</w:t>
      </w:r>
      <w:r w:rsidR="00FC13DA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nm of the supernatant after each wash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measured using the same UV-Vis spectrophotometer. The mass of BSA-FITC washed off during each wash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then calculated based on the standard curve. Finally, the FITC loading capacity (LC) of LBPNS-BSA-FITC or SBPNS-BSA-FITC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determined using these data.</w:t>
      </w:r>
    </w:p>
    <w:p w14:paraId="4A260A9B" w14:textId="79487D1D" w:rsidR="003C2303" w:rsidRPr="00FC13DA" w:rsidRDefault="00FC13DA" w:rsidP="00FC13DA">
      <w:pPr>
        <w:spacing w:line="360" w:lineRule="auto"/>
        <w:ind w:firstLineChars="200" w:firstLine="480"/>
        <w:jc w:val="center"/>
        <w:rPr>
          <w:rFonts w:ascii="Times New Roman" w:hAnsi="Times New Roman" w:cs="Times New Roman"/>
          <w:sz w:val="24"/>
          <w:szCs w:val="24"/>
        </w:rPr>
      </w:pPr>
      <m:oMathPara>
        <m:oMath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FITC  LC 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(μ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 xml:space="preserve">g/ </m:t>
          </m:r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μ</m:t>
          </m:r>
          <m:r>
            <m:rPr>
              <m:nor/>
            </m:rPr>
            <w:rPr>
              <w:rFonts w:ascii="Times New Roman" w:hAnsi="Times New Roman" w:cs="Times New Roman"/>
              <w:sz w:val="24"/>
              <w:szCs w:val="24"/>
            </w:rPr>
            <m:t>g</m:t>
          </m:r>
          <m:r>
            <w:rPr>
              <w:rFonts w:ascii="Cambria Math" w:hAnsi="Cambria Math" w:cs="Times New Roman"/>
              <w:sz w:val="24"/>
              <w:szCs w:val="24"/>
            </w:rPr>
            <m:t>)=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Total weight of FITC-Weight of FITC in two washes</m:t>
              </m:r>
            </m:num>
            <m:den>
              <m:r>
                <m:rPr>
                  <m:nor/>
                </m:rPr>
                <w:rPr>
                  <w:rFonts w:ascii="Times New Roman" w:hAnsi="Times New Roman" w:cs="Times New Roman"/>
                  <w:sz w:val="24"/>
                  <w:szCs w:val="24"/>
                </w:rPr>
                <m:t>Total weight of BPNS</m:t>
              </m:r>
            </m:den>
          </m:f>
        </m:oMath>
      </m:oMathPara>
    </w:p>
    <w:p w14:paraId="3071C822" w14:textId="30D6680C" w:rsidR="003C2303" w:rsidRPr="003E4FBA" w:rsidRDefault="003C2303" w:rsidP="003C2303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E4FBA">
        <w:rPr>
          <w:rFonts w:ascii="Times New Roman" w:hAnsi="Times New Roman" w:cs="Times New Roman"/>
          <w:sz w:val="24"/>
          <w:szCs w:val="24"/>
        </w:rPr>
        <w:t>To investigate the fluorescence stability of BPNS-BSA-FITC, a solution of BPNS-BSA-FITC (2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mL, 8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μg/mL)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stored in a dark environment. At various time points, the fluorescence intensity (Ex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=490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nm, Em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=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520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nm)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measured using a HITACHI F-7000 fluorescence spectrophotometer (HITACHI Company, Japan).</w:t>
      </w:r>
    </w:p>
    <w:p w14:paraId="18178271" w14:textId="5866CF84" w:rsidR="003C2303" w:rsidRPr="003E4FBA" w:rsidRDefault="003C2303" w:rsidP="003C2303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E4FBA">
        <w:rPr>
          <w:rFonts w:ascii="Times New Roman" w:hAnsi="Times New Roman" w:cs="Times New Roman"/>
          <w:sz w:val="24"/>
          <w:szCs w:val="24"/>
        </w:rPr>
        <w:t>To assess the stability of FITC loading in BPNS-BSA-FITC, the fluorescence intensity of a solution containing BPNS-BSA-FITC (2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>mL, 3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μg/mL)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measured using the HITACHI F-7000 fluorescence spectrophotometer (HITACHI Company, Japan). After specified time intervals, BPNS-BSA-FITC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collected by centrifugation at 12000 rpm and re-dispersed in 2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E4FBA">
        <w:rPr>
          <w:rFonts w:ascii="Times New Roman" w:hAnsi="Times New Roman" w:cs="Times New Roman"/>
          <w:sz w:val="24"/>
          <w:szCs w:val="24"/>
        </w:rPr>
        <w:t xml:space="preserve">mL ultrapure water. The fluorescence intensity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E4FBA">
        <w:rPr>
          <w:rFonts w:ascii="Times New Roman" w:hAnsi="Times New Roman" w:cs="Times New Roman"/>
          <w:sz w:val="24"/>
          <w:szCs w:val="24"/>
        </w:rPr>
        <w:t xml:space="preserve"> then re-measured using the HITACHI F-7000 fluorescence spectrophotometer and compared with the initial values.</w:t>
      </w:r>
    </w:p>
    <w:p w14:paraId="45291867" w14:textId="77777777" w:rsidR="003C2303" w:rsidRPr="003C2303" w:rsidRDefault="003C2303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0EF387F6" w14:textId="4B0EFC55" w:rsidR="00370073" w:rsidRPr="004F4227" w:rsidRDefault="00370073" w:rsidP="00AA22E9">
      <w:pPr>
        <w:pStyle w:val="3"/>
        <w:rPr>
          <w:rFonts w:eastAsiaTheme="minorEastAsia"/>
        </w:rPr>
      </w:pPr>
      <w:bookmarkStart w:id="3" w:name="_Hlk173956422"/>
      <w:r w:rsidRPr="00370073">
        <w:t>The TEM images showing cellular uptake of LBPNS and SBPNS</w:t>
      </w:r>
      <w:bookmarkEnd w:id="3"/>
    </w:p>
    <w:p w14:paraId="5C1D7CBA" w14:textId="0191B8DC" w:rsidR="00370073" w:rsidRPr="00370073" w:rsidRDefault="00370073" w:rsidP="00370073">
      <w:pPr>
        <w:spacing w:line="360" w:lineRule="auto"/>
        <w:ind w:firstLineChars="200" w:firstLine="480"/>
        <w:rPr>
          <w:rFonts w:ascii="Times New Roman" w:hAnsi="Times New Roman" w:cs="Times New Roman"/>
          <w:b/>
          <w:sz w:val="24"/>
          <w:szCs w:val="24"/>
        </w:rPr>
      </w:pPr>
      <w:r w:rsidRPr="00370073">
        <w:rPr>
          <w:rFonts w:ascii="Times New Roman" w:hAnsi="Times New Roman" w:cs="Times New Roman"/>
          <w:sz w:val="24"/>
          <w:szCs w:val="24"/>
        </w:rPr>
        <w:t xml:space="preserve">Cells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seeded in a 6-well plate at a density of 15</w:t>
      </w:r>
      <w:r w:rsidR="005B1877" w:rsidRPr="00873515">
        <w:rPr>
          <w:rFonts w:eastAsia="等线" w:hint="eastAsia"/>
        </w:rPr>
        <w:t>×</w:t>
      </w:r>
      <w:r w:rsidRPr="00370073">
        <w:rPr>
          <w:rFonts w:ascii="Times New Roman" w:hAnsi="Times New Roman" w:cs="Times New Roman"/>
          <w:sz w:val="24"/>
          <w:szCs w:val="24"/>
        </w:rPr>
        <w:t>10</w:t>
      </w:r>
      <w:r w:rsidRPr="00370073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370073">
        <w:rPr>
          <w:rFonts w:ascii="Times New Roman" w:hAnsi="Times New Roman" w:cs="Times New Roman"/>
          <w:sz w:val="24"/>
          <w:szCs w:val="24"/>
        </w:rPr>
        <w:t xml:space="preserve"> cells per well and </w:t>
      </w:r>
      <w:r w:rsidRPr="00370073">
        <w:rPr>
          <w:rFonts w:ascii="Times New Roman" w:hAnsi="Times New Roman" w:cs="Times New Roman"/>
          <w:sz w:val="24"/>
          <w:szCs w:val="24"/>
        </w:rPr>
        <w:lastRenderedPageBreak/>
        <w:t xml:space="preserve">cultured for 24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370073">
        <w:rPr>
          <w:rFonts w:ascii="Times New Roman" w:hAnsi="Times New Roman" w:cs="Times New Roman"/>
          <w:sz w:val="24"/>
          <w:szCs w:val="24"/>
        </w:rPr>
        <w:t xml:space="preserve">. Following this, the cells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exposed to either LBPNS-BSA-FITC or SBPNS-BSA-FITC (10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 xml:space="preserve">μg/mL) for an additional 24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370073">
        <w:rPr>
          <w:rFonts w:ascii="Times New Roman" w:hAnsi="Times New Roman" w:cs="Times New Roman"/>
          <w:sz w:val="24"/>
          <w:szCs w:val="24"/>
        </w:rPr>
        <w:t xml:space="preserve">. After exposure, the cells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washed three times with phosphate-buffered saline (PBS) and then harvested. The collected cells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fixed overnight in a 2.5</w:t>
      </w:r>
      <w:r w:rsidR="00EA26B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 glutaraldehyde solution at 4</w:t>
      </w:r>
      <w:r w:rsidR="00EA26B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°C, followed by treatment with a 1</w:t>
      </w:r>
      <w:r w:rsidR="00EA26B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 xml:space="preserve">% osmium tetroxide solution for 1-2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370073">
        <w:rPr>
          <w:rFonts w:ascii="Times New Roman" w:hAnsi="Times New Roman" w:cs="Times New Roman"/>
          <w:sz w:val="24"/>
          <w:szCs w:val="24"/>
        </w:rPr>
        <w:t xml:space="preserve">. Upon fixation, the samples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dehydrated using a series of ethanol solutions with increasing concentrations (30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%, 50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%, 70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%, 80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%, 90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%, and 100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 xml:space="preserve">%), with each concentration treated for 15 </w:t>
      </w:r>
      <w:r w:rsidR="002210DD">
        <w:rPr>
          <w:rFonts w:ascii="Times New Roman" w:hAnsi="Times New Roman" w:cs="Times New Roman"/>
          <w:sz w:val="24"/>
          <w:szCs w:val="24"/>
        </w:rPr>
        <w:t>min</w:t>
      </w:r>
      <w:r w:rsidRPr="00370073">
        <w:rPr>
          <w:rFonts w:ascii="Times New Roman" w:hAnsi="Times New Roman" w:cs="Times New Roman"/>
          <w:sz w:val="24"/>
          <w:szCs w:val="24"/>
        </w:rPr>
        <w:t xml:space="preserve">. The permeated samples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subsequently embedded in molds and subjected to a gradient heating process. Afterward, the samples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sliced into sections of 70</w:t>
      </w:r>
      <w:r w:rsidR="00914B8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>-90</w:t>
      </w:r>
      <w:r w:rsidR="00914B8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70073">
        <w:rPr>
          <w:rFonts w:ascii="Times New Roman" w:hAnsi="Times New Roman" w:cs="Times New Roman"/>
          <w:sz w:val="24"/>
          <w:szCs w:val="24"/>
        </w:rPr>
        <w:t xml:space="preserve">nm thickness. These sections </w:t>
      </w:r>
      <w:r w:rsidR="00355AAF">
        <w:rPr>
          <w:rFonts w:ascii="Times New Roman" w:hAnsi="Times New Roman" w:cs="Times New Roman" w:hint="eastAsia"/>
          <w:sz w:val="24"/>
          <w:szCs w:val="24"/>
        </w:rPr>
        <w:t>were</w:t>
      </w:r>
      <w:r w:rsidRPr="00370073">
        <w:rPr>
          <w:rFonts w:ascii="Times New Roman" w:hAnsi="Times New Roman" w:cs="Times New Roman"/>
          <w:sz w:val="24"/>
          <w:szCs w:val="24"/>
        </w:rPr>
        <w:t xml:space="preserve"> then stained with uranyl acetate solution for 15 min and lead citrate for 5 min before being air-dried. Transmission electron microscopy imaging of the cell sections </w:t>
      </w:r>
      <w:r w:rsidR="00355AAF">
        <w:rPr>
          <w:rFonts w:ascii="Times New Roman" w:hAnsi="Times New Roman" w:cs="Times New Roman" w:hint="eastAsia"/>
          <w:sz w:val="24"/>
          <w:szCs w:val="24"/>
        </w:rPr>
        <w:t>was</w:t>
      </w:r>
      <w:r w:rsidRPr="00370073">
        <w:rPr>
          <w:rFonts w:ascii="Times New Roman" w:hAnsi="Times New Roman" w:cs="Times New Roman"/>
          <w:sz w:val="24"/>
          <w:szCs w:val="24"/>
        </w:rPr>
        <w:t xml:space="preserve"> conducted using a JEOL JEM-1200EX (JEOL Company, Japan) to visualize the BPNS within the cells.</w:t>
      </w:r>
    </w:p>
    <w:p w14:paraId="1F976440" w14:textId="77777777" w:rsidR="00370073" w:rsidRDefault="00370073">
      <w:pPr>
        <w:spacing w:line="360" w:lineRule="auto"/>
        <w:jc w:val="left"/>
        <w:rPr>
          <w:rFonts w:ascii="Times New Roman" w:hAnsi="Times New Roman" w:cs="Times New Roman"/>
          <w:b/>
          <w:sz w:val="30"/>
          <w:szCs w:val="30"/>
        </w:rPr>
      </w:pPr>
    </w:p>
    <w:p w14:paraId="72CEF622" w14:textId="1A359984" w:rsidR="00370073" w:rsidRDefault="00633B83" w:rsidP="00AA22E9">
      <w:pPr>
        <w:pStyle w:val="3"/>
      </w:pPr>
      <w:bookmarkStart w:id="4" w:name="_Hlk174002836"/>
      <w:r>
        <w:rPr>
          <w:rFonts w:eastAsiaTheme="minorEastAsia" w:hint="eastAsia"/>
        </w:rPr>
        <w:t xml:space="preserve">The </w:t>
      </w:r>
      <w:r w:rsidR="00355AAF" w:rsidRPr="00355AAF">
        <w:t xml:space="preserve">CCK-8 </w:t>
      </w:r>
      <w:r>
        <w:rPr>
          <w:rFonts w:eastAsiaTheme="minorEastAsia" w:hint="eastAsia"/>
        </w:rPr>
        <w:t>c</w:t>
      </w:r>
      <w:r w:rsidR="00355AAF" w:rsidRPr="00355AAF">
        <w:t xml:space="preserve">ell </w:t>
      </w:r>
      <w:r>
        <w:rPr>
          <w:rFonts w:eastAsiaTheme="minorEastAsia" w:hint="eastAsia"/>
        </w:rPr>
        <w:t>t</w:t>
      </w:r>
      <w:r w:rsidR="00355AAF" w:rsidRPr="00355AAF">
        <w:t xml:space="preserve">oxicity of </w:t>
      </w:r>
      <w:r>
        <w:rPr>
          <w:rFonts w:eastAsiaTheme="minorEastAsia" w:hint="eastAsia"/>
        </w:rPr>
        <w:t>i</w:t>
      </w:r>
      <w:r w:rsidR="00355AAF" w:rsidRPr="00355AAF">
        <w:t xml:space="preserve">ngestion </w:t>
      </w:r>
      <w:r>
        <w:rPr>
          <w:rFonts w:eastAsiaTheme="minorEastAsia" w:hint="eastAsia"/>
        </w:rPr>
        <w:t>i</w:t>
      </w:r>
      <w:r w:rsidR="00355AAF" w:rsidRPr="00355AAF">
        <w:t>nhibitors</w:t>
      </w:r>
    </w:p>
    <w:bookmarkEnd w:id="4"/>
    <w:p w14:paraId="1636D269" w14:textId="76FFB094" w:rsidR="00355AAF" w:rsidRDefault="00355AAF" w:rsidP="00355AAF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55AAF">
        <w:rPr>
          <w:rFonts w:ascii="Times New Roman" w:hAnsi="Times New Roman" w:cs="Times New Roman"/>
          <w:sz w:val="24"/>
          <w:szCs w:val="24"/>
        </w:rPr>
        <w:t>Cells</w:t>
      </w:r>
      <w:r>
        <w:rPr>
          <w:rFonts w:ascii="Times New Roman" w:hAnsi="Times New Roman" w:cs="Times New Roman" w:hint="eastAsia"/>
          <w:sz w:val="24"/>
          <w:szCs w:val="24"/>
        </w:rPr>
        <w:t xml:space="preserve"> were</w:t>
      </w:r>
      <w:r w:rsidRPr="00355AAF">
        <w:rPr>
          <w:rFonts w:ascii="Times New Roman" w:hAnsi="Times New Roman" w:cs="Times New Roman"/>
          <w:sz w:val="24"/>
          <w:szCs w:val="24"/>
        </w:rPr>
        <w:t xml:space="preserve"> seeded at a density of 5</w:t>
      </w:r>
      <w:r w:rsidR="005B1877" w:rsidRPr="00873515">
        <w:rPr>
          <w:rFonts w:eastAsia="等线" w:hint="eastAsia"/>
        </w:rPr>
        <w:t>×</w:t>
      </w:r>
      <w:r w:rsidRPr="00355AAF">
        <w:rPr>
          <w:rFonts w:ascii="Times New Roman" w:hAnsi="Times New Roman" w:cs="Times New Roman"/>
          <w:sz w:val="24"/>
          <w:szCs w:val="24"/>
        </w:rPr>
        <w:t>10</w:t>
      </w:r>
      <w:r w:rsidRPr="00355AAF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355AAF">
        <w:rPr>
          <w:rFonts w:ascii="Times New Roman" w:hAnsi="Times New Roman" w:cs="Times New Roman"/>
          <w:sz w:val="24"/>
          <w:szCs w:val="24"/>
        </w:rPr>
        <w:t xml:space="preserve"> cells per well in a 96-well plate. After 24 h of incubation, cells were treated for 2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355AAF">
        <w:rPr>
          <w:rFonts w:ascii="Times New Roman" w:hAnsi="Times New Roman" w:cs="Times New Roman"/>
          <w:sz w:val="24"/>
          <w:szCs w:val="24"/>
        </w:rPr>
        <w:t xml:space="preserve"> with the following regimen: Amiloride (40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>μg/mL), MβCD (2 mM), and Dynasore (3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>μg/mL) incubated at 4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 xml:space="preserve">°C. Following incubation, the cells </w:t>
      </w:r>
      <w:r>
        <w:rPr>
          <w:rFonts w:ascii="Times New Roman" w:hAnsi="Times New Roman" w:cs="Times New Roman" w:hint="eastAsia"/>
          <w:sz w:val="24"/>
          <w:szCs w:val="24"/>
        </w:rPr>
        <w:t>were</w:t>
      </w:r>
      <w:r w:rsidRPr="00355AAF">
        <w:rPr>
          <w:rFonts w:ascii="Times New Roman" w:hAnsi="Times New Roman" w:cs="Times New Roman"/>
          <w:sz w:val="24"/>
          <w:szCs w:val="24"/>
        </w:rPr>
        <w:t xml:space="preserve"> washed three times with phosphate-buffered saline (PBS). Subsequently, 100</w:t>
      </w:r>
      <w:r w:rsidR="00914B8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 xml:space="preserve">μL of cell culture medium (F12K) </w:t>
      </w:r>
      <w:r>
        <w:rPr>
          <w:rFonts w:ascii="Times New Roman" w:hAnsi="Times New Roman" w:cs="Times New Roman" w:hint="eastAsia"/>
          <w:sz w:val="24"/>
          <w:szCs w:val="24"/>
        </w:rPr>
        <w:t>was</w:t>
      </w:r>
      <w:r w:rsidRPr="00355AAF">
        <w:rPr>
          <w:rFonts w:ascii="Times New Roman" w:hAnsi="Times New Roman" w:cs="Times New Roman"/>
          <w:sz w:val="24"/>
          <w:szCs w:val="24"/>
        </w:rPr>
        <w:t xml:space="preserve"> added to each well. According to the manufacturer's instructions, 10</w:t>
      </w:r>
      <w:r w:rsidR="00914B85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 xml:space="preserve">μL of cell viability assay reagent (CCK-8) </w:t>
      </w:r>
      <w:r>
        <w:rPr>
          <w:rFonts w:ascii="Times New Roman" w:hAnsi="Times New Roman" w:cs="Times New Roman" w:hint="eastAsia"/>
          <w:sz w:val="24"/>
          <w:szCs w:val="24"/>
        </w:rPr>
        <w:t>was</w:t>
      </w:r>
      <w:r w:rsidRPr="00355AAF">
        <w:rPr>
          <w:rFonts w:ascii="Times New Roman" w:hAnsi="Times New Roman" w:cs="Times New Roman"/>
          <w:sz w:val="24"/>
          <w:szCs w:val="24"/>
        </w:rPr>
        <w:t xml:space="preserve"> added to each well, and the plate </w:t>
      </w:r>
      <w:r>
        <w:rPr>
          <w:rFonts w:ascii="Times New Roman" w:hAnsi="Times New Roman" w:cs="Times New Roman" w:hint="eastAsia"/>
          <w:sz w:val="24"/>
          <w:szCs w:val="24"/>
        </w:rPr>
        <w:t>was</w:t>
      </w:r>
      <w:r w:rsidRPr="00355AAF">
        <w:rPr>
          <w:rFonts w:ascii="Times New Roman" w:hAnsi="Times New Roman" w:cs="Times New Roman"/>
          <w:sz w:val="24"/>
          <w:szCs w:val="24"/>
        </w:rPr>
        <w:t xml:space="preserve"> incubated at 37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 xml:space="preserve">°C in darkness for 2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355AAF">
        <w:rPr>
          <w:rFonts w:ascii="Times New Roman" w:hAnsi="Times New Roman" w:cs="Times New Roman"/>
          <w:sz w:val="24"/>
          <w:szCs w:val="24"/>
        </w:rPr>
        <w:t>. After incubation, the absorbance at 450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355AAF">
        <w:rPr>
          <w:rFonts w:ascii="Times New Roman" w:hAnsi="Times New Roman" w:cs="Times New Roman"/>
          <w:sz w:val="24"/>
          <w:szCs w:val="24"/>
        </w:rPr>
        <w:t xml:space="preserve">nm </w:t>
      </w:r>
      <w:r>
        <w:rPr>
          <w:rFonts w:ascii="Times New Roman" w:hAnsi="Times New Roman" w:cs="Times New Roman" w:hint="eastAsia"/>
          <w:sz w:val="24"/>
          <w:szCs w:val="24"/>
        </w:rPr>
        <w:t>was</w:t>
      </w:r>
      <w:r w:rsidRPr="00355AAF">
        <w:rPr>
          <w:rFonts w:ascii="Times New Roman" w:hAnsi="Times New Roman" w:cs="Times New Roman"/>
          <w:sz w:val="24"/>
          <w:szCs w:val="24"/>
        </w:rPr>
        <w:t xml:space="preserve"> measured using an Infinite M200PRO microplate reader (TECAN Company, Switzerland) to assess cell viability.</w:t>
      </w:r>
    </w:p>
    <w:p w14:paraId="240FB4D5" w14:textId="77777777" w:rsidR="009319A1" w:rsidRPr="00355AAF" w:rsidRDefault="009319A1" w:rsidP="00AA22E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CE53EC7" w14:textId="47174BE8" w:rsidR="009319A1" w:rsidRDefault="00DA67B7" w:rsidP="00AA22E9">
      <w:pPr>
        <w:pStyle w:val="3"/>
        <w:rPr>
          <w:rFonts w:eastAsiaTheme="minorEastAsia"/>
        </w:rPr>
      </w:pPr>
      <w:bookmarkStart w:id="5" w:name="_Hlk174018024"/>
      <w:r>
        <w:rPr>
          <w:rFonts w:eastAsiaTheme="minorEastAsia" w:hint="eastAsia"/>
        </w:rPr>
        <w:t xml:space="preserve">The </w:t>
      </w:r>
      <w:r w:rsidRPr="00DA67B7">
        <w:t>TEM images and elemental dot mapping of SBPNS and LBPNS distribution within cells</w:t>
      </w:r>
    </w:p>
    <w:bookmarkEnd w:id="5"/>
    <w:p w14:paraId="6EF10F53" w14:textId="0872C39B" w:rsidR="00DA67B7" w:rsidRDefault="00DA67B7" w:rsidP="00DA67B7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DA67B7">
        <w:rPr>
          <w:rFonts w:ascii="Times New Roman" w:hAnsi="Times New Roman" w:cs="Times New Roman"/>
          <w:sz w:val="24"/>
          <w:szCs w:val="24"/>
        </w:rPr>
        <w:t xml:space="preserve">Cells </w:t>
      </w:r>
      <w:r w:rsidRPr="00DA67B7">
        <w:rPr>
          <w:rFonts w:ascii="Times New Roman" w:hAnsi="Times New Roman" w:cs="Times New Roman" w:hint="eastAsia"/>
          <w:sz w:val="24"/>
          <w:szCs w:val="24"/>
        </w:rPr>
        <w:t>were</w:t>
      </w:r>
      <w:r w:rsidRPr="00DA67B7">
        <w:rPr>
          <w:rFonts w:ascii="Times New Roman" w:hAnsi="Times New Roman" w:cs="Times New Roman"/>
          <w:sz w:val="24"/>
          <w:szCs w:val="24"/>
        </w:rPr>
        <w:t xml:space="preserve"> seeded at a density of 15</w:t>
      </w:r>
      <w:r w:rsidR="005B1877" w:rsidRPr="00873515">
        <w:rPr>
          <w:rFonts w:eastAsia="等线" w:hint="eastAsia"/>
        </w:rPr>
        <w:t>×</w:t>
      </w:r>
      <w:r w:rsidRPr="00DA67B7">
        <w:rPr>
          <w:rFonts w:ascii="Times New Roman" w:hAnsi="Times New Roman" w:cs="Times New Roman"/>
          <w:sz w:val="24"/>
          <w:szCs w:val="24"/>
        </w:rPr>
        <w:t>10</w:t>
      </w:r>
      <w:r w:rsidRPr="00DA67B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DA67B7">
        <w:rPr>
          <w:rFonts w:ascii="Times New Roman" w:hAnsi="Times New Roman" w:cs="Times New Roman"/>
          <w:sz w:val="24"/>
          <w:szCs w:val="24"/>
        </w:rPr>
        <w:t xml:space="preserve"> cells per well in a 6-well plate and cultured for 24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DA67B7">
        <w:rPr>
          <w:rFonts w:ascii="Times New Roman" w:hAnsi="Times New Roman" w:cs="Times New Roman"/>
          <w:sz w:val="24"/>
          <w:szCs w:val="24"/>
        </w:rPr>
        <w:t xml:space="preserve">. Following this, they </w:t>
      </w:r>
      <w:r w:rsidRPr="00DA67B7">
        <w:rPr>
          <w:rFonts w:ascii="Times New Roman" w:hAnsi="Times New Roman" w:cs="Times New Roman" w:hint="eastAsia"/>
          <w:sz w:val="24"/>
          <w:szCs w:val="24"/>
        </w:rPr>
        <w:t>were</w:t>
      </w:r>
      <w:r w:rsidRPr="00DA67B7">
        <w:rPr>
          <w:rFonts w:ascii="Times New Roman" w:hAnsi="Times New Roman" w:cs="Times New Roman"/>
          <w:sz w:val="24"/>
          <w:szCs w:val="24"/>
        </w:rPr>
        <w:t xml:space="preserve"> exposed to either LBPNS-BSA-FITC or </w:t>
      </w:r>
      <w:r w:rsidRPr="00DA67B7">
        <w:rPr>
          <w:rFonts w:ascii="Times New Roman" w:hAnsi="Times New Roman" w:cs="Times New Roman"/>
          <w:sz w:val="24"/>
          <w:szCs w:val="24"/>
        </w:rPr>
        <w:lastRenderedPageBreak/>
        <w:t>SBPNS-BSA-FITC (10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DA67B7">
        <w:rPr>
          <w:rFonts w:ascii="Times New Roman" w:hAnsi="Times New Roman" w:cs="Times New Roman"/>
          <w:sz w:val="24"/>
          <w:szCs w:val="24"/>
        </w:rPr>
        <w:t xml:space="preserve">μg/mL) for 24 </w:t>
      </w:r>
      <w:r w:rsidR="002210DD">
        <w:rPr>
          <w:rFonts w:ascii="Times New Roman" w:hAnsi="Times New Roman" w:cs="Times New Roman"/>
          <w:sz w:val="24"/>
          <w:szCs w:val="24"/>
        </w:rPr>
        <w:t>h</w:t>
      </w:r>
      <w:r w:rsidRPr="00DA67B7">
        <w:rPr>
          <w:rFonts w:ascii="Times New Roman" w:hAnsi="Times New Roman" w:cs="Times New Roman"/>
          <w:sz w:val="24"/>
          <w:szCs w:val="24"/>
        </w:rPr>
        <w:t xml:space="preserve">. After the exposure period, the cells </w:t>
      </w:r>
      <w:r w:rsidRPr="00DA67B7">
        <w:rPr>
          <w:rFonts w:ascii="Times New Roman" w:hAnsi="Times New Roman" w:cs="Times New Roman" w:hint="eastAsia"/>
          <w:sz w:val="24"/>
          <w:szCs w:val="24"/>
        </w:rPr>
        <w:t>were</w:t>
      </w:r>
      <w:r w:rsidRPr="00DA67B7">
        <w:rPr>
          <w:rFonts w:ascii="Times New Roman" w:hAnsi="Times New Roman" w:cs="Times New Roman"/>
          <w:sz w:val="24"/>
          <w:szCs w:val="24"/>
        </w:rPr>
        <w:t xml:space="preserve"> washed three times with phosphate-buffered saline (PBS). Subsequently, they </w:t>
      </w:r>
      <w:r w:rsidRPr="00DA67B7">
        <w:rPr>
          <w:rFonts w:ascii="Times New Roman" w:hAnsi="Times New Roman" w:cs="Times New Roman" w:hint="eastAsia"/>
          <w:sz w:val="24"/>
          <w:szCs w:val="24"/>
        </w:rPr>
        <w:t>were</w:t>
      </w:r>
      <w:r w:rsidRPr="00DA67B7">
        <w:rPr>
          <w:rFonts w:ascii="Times New Roman" w:hAnsi="Times New Roman" w:cs="Times New Roman"/>
          <w:sz w:val="24"/>
          <w:szCs w:val="24"/>
        </w:rPr>
        <w:t xml:space="preserve"> treated with trypsin for 1 min and then collected by centrifugation at 1000 rpm. The collected cells </w:t>
      </w:r>
      <w:r w:rsidRPr="00DA67B7">
        <w:rPr>
          <w:rFonts w:ascii="Times New Roman" w:hAnsi="Times New Roman" w:cs="Times New Roman" w:hint="eastAsia"/>
          <w:sz w:val="24"/>
          <w:szCs w:val="24"/>
        </w:rPr>
        <w:t>were</w:t>
      </w:r>
      <w:r w:rsidRPr="00DA67B7">
        <w:rPr>
          <w:rFonts w:ascii="Times New Roman" w:hAnsi="Times New Roman" w:cs="Times New Roman"/>
          <w:sz w:val="24"/>
          <w:szCs w:val="24"/>
        </w:rPr>
        <w:t xml:space="preserve"> processed according to the preparation protocol used in the uptake experiment. For observation of cellular organelles, transmission electron microscopy imaging </w:t>
      </w:r>
      <w:r w:rsidRPr="00DA67B7">
        <w:rPr>
          <w:rFonts w:ascii="Times New Roman" w:hAnsi="Times New Roman" w:cs="Times New Roman" w:hint="eastAsia"/>
          <w:sz w:val="24"/>
          <w:szCs w:val="24"/>
        </w:rPr>
        <w:t>was</w:t>
      </w:r>
      <w:r w:rsidRPr="00DA67B7">
        <w:rPr>
          <w:rFonts w:ascii="Times New Roman" w:hAnsi="Times New Roman" w:cs="Times New Roman"/>
          <w:sz w:val="24"/>
          <w:szCs w:val="24"/>
        </w:rPr>
        <w:t xml:space="preserve"> performed using a JEOL JEM-1200EX (JEOL Company, Japan). Additionally, elemental analysis of the cell slices </w:t>
      </w:r>
      <w:r w:rsidRPr="00DA67B7">
        <w:rPr>
          <w:rFonts w:ascii="Times New Roman" w:hAnsi="Times New Roman" w:cs="Times New Roman" w:hint="eastAsia"/>
          <w:sz w:val="24"/>
          <w:szCs w:val="24"/>
        </w:rPr>
        <w:t>was</w:t>
      </w:r>
      <w:r w:rsidRPr="00DA67B7">
        <w:rPr>
          <w:rFonts w:ascii="Times New Roman" w:hAnsi="Times New Roman" w:cs="Times New Roman"/>
          <w:sz w:val="24"/>
          <w:szCs w:val="24"/>
        </w:rPr>
        <w:t xml:space="preserve"> conducted using a FEI TecnaiG2 F30 (FEI Company, America).</w:t>
      </w:r>
    </w:p>
    <w:p w14:paraId="7B4E89E2" w14:textId="77777777" w:rsidR="00110226" w:rsidRDefault="00110226" w:rsidP="00DA67B7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</w:p>
    <w:p w14:paraId="6177878D" w14:textId="4FAC95AF" w:rsidR="00633B83" w:rsidRDefault="00CA3208" w:rsidP="00CA3208">
      <w:pPr>
        <w:pStyle w:val="3"/>
      </w:pPr>
      <w:r w:rsidRPr="00CA3208">
        <w:rPr>
          <w:rFonts w:hint="eastAsia"/>
        </w:rPr>
        <w:t>Labeling Method and Characterization of B</w:t>
      </w:r>
      <w:r w:rsidR="00110226">
        <w:rPr>
          <w:rFonts w:eastAsiaTheme="minorEastAsia" w:hint="eastAsia"/>
        </w:rPr>
        <w:t>PNS</w:t>
      </w:r>
      <w:r w:rsidRPr="00CA3208">
        <w:rPr>
          <w:rFonts w:hint="eastAsia"/>
        </w:rPr>
        <w:t xml:space="preserve"> with Gold Nanoparticles</w:t>
      </w:r>
    </w:p>
    <w:p w14:paraId="475471B2" w14:textId="22477722" w:rsidR="00CA3208" w:rsidRPr="00CA3208" w:rsidRDefault="00CA3208" w:rsidP="00CA3208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CA3208">
        <w:rPr>
          <w:rFonts w:ascii="Times New Roman" w:hAnsi="Times New Roman" w:cs="Times New Roman"/>
          <w:sz w:val="24"/>
          <w:szCs w:val="24"/>
        </w:rPr>
        <w:t>The sodium citrate solution (20 μL, 0.3 mol/L) and tetrachloroauric acid solution (25 μL, 10 mmol/L) were added to the LBPNS dispersion (1 mL, 100 μg/mL) and stirred for 10 min. The mixture was centrifuged at 12,000 rpm for 15 min and washed with oxygen-free ultrapure water via centrifugation. The precipitated product obtained after centrifugation was designated as LBPNS-Au. The precipitated product prepared using SBPNS was named SBPNS-Au.</w:t>
      </w:r>
    </w:p>
    <w:p w14:paraId="0D9A8EDC" w14:textId="444B6CF2" w:rsidR="00CA3208" w:rsidRPr="00CA3208" w:rsidRDefault="00CA3208" w:rsidP="00CA3208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CA3208">
        <w:rPr>
          <w:rFonts w:ascii="Times New Roman" w:hAnsi="Times New Roman" w:cs="Times New Roman"/>
          <w:sz w:val="24"/>
          <w:szCs w:val="24"/>
        </w:rPr>
        <w:t>BPNS and BPNS-Au were dispersed in anhydrous ethanol and placed in an ultrasonic cleaner for 1 h to ensure uniform dispersion. A 0.5 mL aliquot of the dispersion was transferred to the surface of smooth aluminum foil using a pipette. After the sample was air-dried at room temperature, the aluminum foil was cut into squares (1 cm × 1 cm) and adhered to conductive tape on the sample stage. The samples were observed under a scanning electron microscope (SEM) at a pressure of 1×e</w:t>
      </w:r>
      <w:r w:rsidRPr="00CA3208">
        <w:rPr>
          <w:rFonts w:ascii="Times New Roman" w:hAnsi="Times New Roman" w:cs="Times New Roman"/>
          <w:sz w:val="24"/>
          <w:szCs w:val="24"/>
          <w:vertAlign w:val="superscript"/>
        </w:rPr>
        <w:t>-3</w:t>
      </w:r>
      <w:r w:rsidRPr="00CA3208">
        <w:rPr>
          <w:rFonts w:ascii="Times New Roman" w:hAnsi="Times New Roman" w:cs="Times New Roman"/>
          <w:sz w:val="24"/>
          <w:szCs w:val="24"/>
        </w:rPr>
        <w:t xml:space="preserve"> Pa and an accelerating voltage of 20 kV. Energy-dispersive X-ray spectroscopy (EDS) elemental mapping was subsequently performed to analyze nitrogen (N), oxygen (O), phosphorus (P), and gold (Au). The transmission electron microscopy (TEM) characterization of BPNS-Au followed the same procedure as described above.</w:t>
      </w:r>
    </w:p>
    <w:p w14:paraId="519E6A88" w14:textId="37A360C6" w:rsidR="00931B77" w:rsidRPr="00110226" w:rsidRDefault="00110226" w:rsidP="00931B77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110226">
        <w:rPr>
          <w:rFonts w:ascii="Times New Roman" w:hAnsi="Times New Roman" w:cs="Times New Roman"/>
          <w:sz w:val="24"/>
          <w:szCs w:val="24"/>
        </w:rPr>
        <w:t xml:space="preserve">BPNS and BPNS-Au were dispersed in pure water and placed in an ultrasonic cleaner for 1 h to achieve uniform dispersion. A 2 mL aliquot of the dispersion was transferred to a quartz cuvette using a pipette. The UV-Vis absorption spectra of the </w:t>
      </w:r>
      <w:r w:rsidRPr="00110226">
        <w:rPr>
          <w:rFonts w:ascii="Times New Roman" w:hAnsi="Times New Roman" w:cs="Times New Roman"/>
          <w:sz w:val="24"/>
          <w:szCs w:val="24"/>
        </w:rPr>
        <w:lastRenderedPageBreak/>
        <w:t>samples were subsequently recorded within the wavelength range of 400 nm to 800 nm.</w:t>
      </w:r>
    </w:p>
    <w:p w14:paraId="7AAB605B" w14:textId="77777777" w:rsidR="00200792" w:rsidRDefault="00200792" w:rsidP="0020079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6F64B72" w14:textId="5F40BE96" w:rsidR="00110226" w:rsidRPr="00931B77" w:rsidRDefault="00110226" w:rsidP="00110226">
      <w:pPr>
        <w:pStyle w:val="3"/>
      </w:pPr>
      <w:r w:rsidRPr="00110226">
        <w:t xml:space="preserve">Determination of the loading amount of gold nanoparticles on </w:t>
      </w:r>
      <w:r>
        <w:rPr>
          <w:rFonts w:hint="eastAsia"/>
        </w:rPr>
        <w:t>BPNS</w:t>
      </w:r>
    </w:p>
    <w:p w14:paraId="296D127E" w14:textId="180C9976" w:rsidR="00110226" w:rsidRPr="00110226" w:rsidRDefault="00110226" w:rsidP="00110226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110226">
        <w:rPr>
          <w:rFonts w:ascii="Times New Roman" w:hAnsi="Times New Roman" w:cs="Times New Roman"/>
          <w:sz w:val="24"/>
          <w:szCs w:val="24"/>
        </w:rPr>
        <w:t>The BPNS-Au solution (1 mL, 100 μg/mL) was centrifuged at 12,000 rpm for 20 min to obtain the BPNS-Au precipitate. The precipitate was digested in 461 μL of concentrated nitric acid (65</w:t>
      </w:r>
      <w:r w:rsidR="00897709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110226">
        <w:rPr>
          <w:rFonts w:ascii="Times New Roman" w:hAnsi="Times New Roman" w:cs="Times New Roman"/>
          <w:sz w:val="24"/>
          <w:szCs w:val="24"/>
        </w:rPr>
        <w:t>%) for 48 h. After digestion, the solution was diluted to a working solution (15 mL, 2</w:t>
      </w:r>
      <w:r w:rsidR="00897709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110226">
        <w:rPr>
          <w:rFonts w:ascii="Times New Roman" w:hAnsi="Times New Roman" w:cs="Times New Roman"/>
          <w:sz w:val="24"/>
          <w:szCs w:val="24"/>
        </w:rPr>
        <w:t>% nitric acid concentration). The working solution was filtered through a polytetrafluoroethylene syringe filter, and 1 mL of the filtrate was diluted to 10 mL as the test solution, with indium (In) at a concentration of 2 μg/mL added as an internal standard.</w:t>
      </w:r>
    </w:p>
    <w:p w14:paraId="1B54BBED" w14:textId="711D0952" w:rsidR="00110226" w:rsidRDefault="00110226" w:rsidP="00110226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110226">
        <w:rPr>
          <w:rFonts w:ascii="Times New Roman" w:hAnsi="Times New Roman" w:cs="Times New Roman"/>
          <w:sz w:val="24"/>
          <w:szCs w:val="24"/>
        </w:rPr>
        <w:t>Standard calibration samples for gold were prepared using the same procedure. After the ICP-MS system was optimized with tuning solutions, the gold and indium contents in the samples were quantitatively analyzed.</w:t>
      </w:r>
    </w:p>
    <w:p w14:paraId="4E17F85D" w14:textId="77777777" w:rsidR="00110226" w:rsidRPr="00110226" w:rsidRDefault="00110226" w:rsidP="00110226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</w:p>
    <w:p w14:paraId="7B89D0E4" w14:textId="10013611" w:rsidR="00BD11E4" w:rsidRDefault="00BD11E4" w:rsidP="00BD11E4">
      <w:pPr>
        <w:pStyle w:val="3"/>
      </w:pPr>
      <w:r w:rsidRPr="00BD11E4">
        <w:rPr>
          <w:rFonts w:hint="eastAsia"/>
        </w:rPr>
        <w:t xml:space="preserve">Quantification of </w:t>
      </w:r>
      <w:r>
        <w:rPr>
          <w:rFonts w:hint="eastAsia"/>
        </w:rPr>
        <w:t>BPNS</w:t>
      </w:r>
      <w:r w:rsidRPr="00BD11E4">
        <w:rPr>
          <w:rFonts w:hint="eastAsia"/>
        </w:rPr>
        <w:t xml:space="preserve"> in Cellular Organelles</w:t>
      </w:r>
    </w:p>
    <w:p w14:paraId="2878C78C" w14:textId="399C1453" w:rsidR="00BD11E4" w:rsidRPr="00BD11E4" w:rsidRDefault="00BD11E4" w:rsidP="00BD11E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BD11E4">
        <w:rPr>
          <w:rFonts w:ascii="Times New Roman" w:hAnsi="Times New Roman" w:cs="Times New Roman"/>
          <w:sz w:val="24"/>
          <w:szCs w:val="24"/>
        </w:rPr>
        <w:t>A total of 1.5×10</w:t>
      </w:r>
      <w:r w:rsidRPr="00BD11E4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BD11E4">
        <w:rPr>
          <w:rFonts w:ascii="Times New Roman" w:hAnsi="Times New Roman" w:cs="Times New Roman"/>
          <w:sz w:val="24"/>
          <w:szCs w:val="24"/>
        </w:rPr>
        <w:t xml:space="preserve"> cells were seeded into cell culture dishes (Φ15 cm) and incubated for 24 h. After repeated washing with phosphate-buffered saline (PBS), LBPNS-Au and SBPNS-Au working solutions (15 mL, 10 μg/mL) prepared in F12K medium were added to the culture dishes. Following 12 h of incubation, the cells were washed repeatedly with PBS. Subsequently, the cells were digested using trypsin and centrifuged three times for purification. Approximately 2×10</w:t>
      </w:r>
      <w:r w:rsidRPr="00BD11E4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BD11E4">
        <w:rPr>
          <w:rFonts w:ascii="Times New Roman" w:hAnsi="Times New Roman" w:cs="Times New Roman"/>
          <w:sz w:val="24"/>
          <w:szCs w:val="24"/>
        </w:rPr>
        <w:t xml:space="preserve"> cells were collected, mixed with organelle extraction reagent, and thoroughly dispersed. The suspension was placed on ice and homogenized 50 times using a glass homogenizer. The homogenate was centrifuged at 4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BD11E4">
        <w:rPr>
          <w:rFonts w:ascii="Times New Roman" w:hAnsi="Times New Roman" w:cs="Times New Roman"/>
          <w:sz w:val="24"/>
          <w:szCs w:val="24"/>
        </w:rPr>
        <w:t>°C under varying centrifugal forces to isolate organelle-specific precipitates: nuclei were collected by centrifugation at 800 g to 1000 g for 10 min; mitochondria were isolated at 1000 g to 3000 g for 10 min; Golgi apparatus was separated at 3000 g to 6000 g for 10 min; lysosomes were obtained at 6000 g to 15,000 g for 10 min; and the endoplasmic reticulum was precipitated at 15,000 g to 25,000 g for 10 min.</w:t>
      </w:r>
    </w:p>
    <w:p w14:paraId="75E05E8C" w14:textId="72BB3E92" w:rsidR="00BD11E4" w:rsidRPr="00BD11E4" w:rsidRDefault="00BD11E4" w:rsidP="00BD11E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BD11E4">
        <w:rPr>
          <w:rFonts w:ascii="Times New Roman" w:hAnsi="Times New Roman" w:cs="Times New Roman"/>
          <w:sz w:val="24"/>
          <w:szCs w:val="24"/>
        </w:rPr>
        <w:lastRenderedPageBreak/>
        <w:t>Organelle precipitates were dispersed in 461 μL of concentrated nitric acid (65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BD11E4">
        <w:rPr>
          <w:rFonts w:ascii="Times New Roman" w:hAnsi="Times New Roman" w:cs="Times New Roman"/>
          <w:sz w:val="24"/>
          <w:szCs w:val="24"/>
        </w:rPr>
        <w:t>%) for 48 h. After digestion, 370 μL of the digested solution was diluted to 10 mL (2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BD11E4">
        <w:rPr>
          <w:rFonts w:ascii="Times New Roman" w:hAnsi="Times New Roman" w:cs="Times New Roman"/>
          <w:sz w:val="24"/>
          <w:szCs w:val="24"/>
        </w:rPr>
        <w:t xml:space="preserve">% nitric acid) as the test solution. Following the method described above, the gold content in the organelle precipitates was quantified via ICP-MS using indium (In) at 2 μg/mL as an internal standard, and the </w:t>
      </w:r>
      <w:r>
        <w:rPr>
          <w:rFonts w:ascii="Times New Roman" w:hAnsi="Times New Roman" w:cs="Times New Roman" w:hint="eastAsia"/>
          <w:sz w:val="24"/>
          <w:szCs w:val="24"/>
        </w:rPr>
        <w:t>BPNS</w:t>
      </w:r>
      <w:r w:rsidRPr="00BD11E4">
        <w:rPr>
          <w:rFonts w:ascii="Times New Roman" w:hAnsi="Times New Roman" w:cs="Times New Roman"/>
          <w:sz w:val="24"/>
          <w:szCs w:val="24"/>
        </w:rPr>
        <w:t xml:space="preserve"> content in organelles was calculated.</w:t>
      </w:r>
    </w:p>
    <w:p w14:paraId="1A0EFC23" w14:textId="77777777" w:rsidR="005B7C26" w:rsidRDefault="005B7C26" w:rsidP="00BD11E4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32EC220" w14:textId="449B1CD6" w:rsidR="00BD11E4" w:rsidRDefault="00BD11E4" w:rsidP="00BD11E4">
      <w:pPr>
        <w:pStyle w:val="3"/>
        <w:rPr>
          <w:rFonts w:eastAsiaTheme="minorEastAsia"/>
        </w:rPr>
      </w:pPr>
      <w:r w:rsidRPr="00BD11E4">
        <w:rPr>
          <w:rFonts w:hint="eastAsia"/>
        </w:rPr>
        <w:t>Cell Cycle Analysis</w:t>
      </w:r>
    </w:p>
    <w:p w14:paraId="13BDA36A" w14:textId="4DC6E334" w:rsidR="00BD11E4" w:rsidRPr="00BA1091" w:rsidRDefault="00BA1091" w:rsidP="00BA1091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BA1091">
        <w:rPr>
          <w:rFonts w:ascii="Times New Roman" w:hAnsi="Times New Roman" w:cs="Times New Roman"/>
          <w:sz w:val="24"/>
          <w:szCs w:val="24"/>
        </w:rPr>
        <w:t>Cells (15×10</w:t>
      </w:r>
      <w:r w:rsidRPr="00BA1091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BA1091">
        <w:rPr>
          <w:rFonts w:ascii="Times New Roman" w:hAnsi="Times New Roman" w:cs="Times New Roman"/>
          <w:sz w:val="24"/>
          <w:szCs w:val="24"/>
        </w:rPr>
        <w:t xml:space="preserve"> per well) were seeded into 6-well plates and incubated for 12 h. After exposure to BPNS dispersions (2 mL, 5 μg/mL) for 24 h, the cells were washed three times with PBS. The cells were then digested with trypsin, centrifuged, and washed three times. Subsequently, the cells were fixed in 70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BA1091">
        <w:rPr>
          <w:rFonts w:ascii="Times New Roman" w:hAnsi="Times New Roman" w:cs="Times New Roman"/>
          <w:sz w:val="24"/>
          <w:szCs w:val="24"/>
        </w:rPr>
        <w:t>% cold ethanol for 12 h, followed by the addition of 1 mL of cell cycle staining solution (RNaseA-PI). The samples were incubated in the dark at 4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BA1091">
        <w:rPr>
          <w:rFonts w:ascii="Times New Roman" w:hAnsi="Times New Roman" w:cs="Times New Roman"/>
          <w:sz w:val="24"/>
          <w:szCs w:val="24"/>
        </w:rPr>
        <w:t>°C for 1 h. After incubation, cell cycle distribution was analyzed by flow cytometry</w:t>
      </w:r>
      <w:r>
        <w:rPr>
          <w:rFonts w:ascii="Times New Roman" w:hAnsi="Times New Roman" w:cs="Times New Roman" w:hint="eastAsia"/>
          <w:sz w:val="24"/>
          <w:szCs w:val="24"/>
        </w:rPr>
        <w:t>.</w:t>
      </w:r>
    </w:p>
    <w:p w14:paraId="16C8C10F" w14:textId="77777777" w:rsidR="005B7C26" w:rsidRDefault="005B7C26" w:rsidP="00931B7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06CA2A5" w14:textId="60480350" w:rsidR="00633B83" w:rsidRDefault="00BA1091" w:rsidP="00AA22E9">
      <w:pPr>
        <w:pStyle w:val="3"/>
        <w:rPr>
          <w:rFonts w:eastAsiaTheme="minorEastAsia"/>
        </w:rPr>
      </w:pPr>
      <w:r>
        <w:rPr>
          <w:rFonts w:eastAsiaTheme="minorEastAsia" w:hint="eastAsia"/>
        </w:rPr>
        <w:t>M</w:t>
      </w:r>
      <w:r w:rsidR="00633B83" w:rsidRPr="00633B83">
        <w:t>ethod</w:t>
      </w:r>
      <w:r w:rsidR="00633B83">
        <w:rPr>
          <w:rFonts w:eastAsiaTheme="minorEastAsia" w:hint="eastAsia"/>
        </w:rPr>
        <w:t xml:space="preserve"> of </w:t>
      </w:r>
      <w:r w:rsidR="00633B83" w:rsidRPr="00633B83">
        <w:t xml:space="preserve">metabolomics detection </w:t>
      </w:r>
    </w:p>
    <w:p w14:paraId="4EDDAAE7" w14:textId="675BA04D" w:rsidR="00B02650" w:rsidRDefault="00967960" w:rsidP="00D66B74">
      <w:pPr>
        <w:spacing w:line="360" w:lineRule="auto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967960">
        <w:rPr>
          <w:rFonts w:ascii="Times New Roman" w:hAnsi="Times New Roman" w:cs="Times New Roman"/>
          <w:sz w:val="24"/>
          <w:szCs w:val="24"/>
        </w:rPr>
        <w:t>After quenching, the cells were left at room temperature, and then 1 mL of extraction solution (methanol: acetonitrile: water = 2:2:1) was added to the cells. The cells were subjected to three freeze-thaw cycles using liquid nitrogen.</w:t>
      </w:r>
      <w:r w:rsidRPr="00967960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33B83" w:rsidRPr="00967960">
        <w:rPr>
          <w:rFonts w:ascii="Times New Roman" w:hAnsi="Times New Roman" w:cs="Times New Roman"/>
          <w:sz w:val="24"/>
          <w:szCs w:val="24"/>
        </w:rPr>
        <w:t>Subsequently, the cells were incubated at -20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°C for 60 </w:t>
      </w:r>
      <w:r w:rsidR="002210DD">
        <w:rPr>
          <w:rFonts w:ascii="Times New Roman" w:hAnsi="Times New Roman" w:cs="Times New Roman"/>
          <w:sz w:val="24"/>
          <w:szCs w:val="24"/>
        </w:rPr>
        <w:t>min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, followed by centrifugation at 4°C and 12000 rpm for 15 </w:t>
      </w:r>
      <w:r w:rsidR="002210DD">
        <w:rPr>
          <w:rFonts w:ascii="Times New Roman" w:hAnsi="Times New Roman" w:cs="Times New Roman"/>
          <w:sz w:val="24"/>
          <w:szCs w:val="24"/>
        </w:rPr>
        <w:t>min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 to collect the supernatant. The supernatant was then freeze-dried in a vacuum freeze dryer and reconstituted with 100</w:t>
      </w:r>
      <w:r w:rsidR="00D002F4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33B83" w:rsidRPr="00967960">
        <w:rPr>
          <w:rFonts w:ascii="Times New Roman" w:hAnsi="Times New Roman" w:cs="Times New Roman"/>
          <w:sz w:val="24"/>
          <w:szCs w:val="24"/>
        </w:rPr>
        <w:t>μL of reconstitution solution (acetonitrile: water = 1:1). After vortex and sonication, the samples were centrifuged at 4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°C and 12000 rpm for 15 </w:t>
      </w:r>
      <w:r w:rsidR="002210DD">
        <w:rPr>
          <w:rFonts w:ascii="Times New Roman" w:hAnsi="Times New Roman" w:cs="Times New Roman"/>
          <w:sz w:val="24"/>
          <w:szCs w:val="24"/>
        </w:rPr>
        <w:t>min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 to collect the extract. The extracts were run on a high</w:t>
      </w:r>
      <w:r w:rsidR="00120BBC">
        <w:rPr>
          <w:rFonts w:ascii="Times New Roman" w:hAnsi="Times New Roman" w:cs="Times New Roman" w:hint="eastAsia"/>
          <w:sz w:val="24"/>
          <w:szCs w:val="24"/>
        </w:rPr>
        <w:t>-</w:t>
      </w:r>
      <w:r w:rsidR="00633B83" w:rsidRPr="00967960">
        <w:rPr>
          <w:rFonts w:ascii="Times New Roman" w:hAnsi="Times New Roman" w:cs="Times New Roman"/>
          <w:sz w:val="24"/>
          <w:szCs w:val="24"/>
        </w:rPr>
        <w:t xml:space="preserve">resolution liquid-mass spectrometry system AB SCIEX X500R QTOF (AB SCIEX Company, America). </w:t>
      </w:r>
      <w:r w:rsidR="00570290" w:rsidRPr="003E630F">
        <w:rPr>
          <w:rFonts w:ascii="Times New Roman" w:hAnsi="Times New Roman" w:cs="Times New Roman"/>
          <w:sz w:val="24"/>
          <w:szCs w:val="24"/>
        </w:rPr>
        <w:t>Chromatography was conducted using an ACQUITY HSS T3 column (2.1×100 mm, 1.8 µm, Waters, USA) at a column temperature of 50</w:t>
      </w:r>
      <w:r w:rsidR="0029371F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°C, a flow rate of 0.3 mL/min, and an injection volume of 2 µL. Mobile phase A consisted of an aqueous solution with 5 mM ammonium formate and 0.1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 xml:space="preserve">% formic acid, while mobile </w:t>
      </w:r>
      <w:r w:rsidR="00570290" w:rsidRPr="003E630F">
        <w:rPr>
          <w:rFonts w:ascii="Times New Roman" w:hAnsi="Times New Roman" w:cs="Times New Roman"/>
          <w:sz w:val="24"/>
          <w:szCs w:val="24"/>
        </w:rPr>
        <w:lastRenderedPageBreak/>
        <w:t>phase B was methanol. The gradient elution program was as follows: 0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1.5 min, 3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methanol; 1.5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11 min, increasing to 80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methanol; 11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14 min, further increasing to 97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methanol; 14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18 min, holding at 97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methanol; 18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18.1 min, decreasing to 3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methanol; 18.1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-</w:t>
      </w:r>
      <w:r w:rsidR="0057029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21 min, maintaining at 3</w:t>
      </w:r>
      <w:r w:rsidR="00D002F4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% methanol. The parameters of the electrospray ion source (ESI) were as follows: ion spray voltage (positive ion mode) 5500 V / (negative ion mode) -4500 V; temperature 550</w:t>
      </w:r>
      <w:r w:rsidR="0029371F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570290" w:rsidRPr="003E630F">
        <w:rPr>
          <w:rFonts w:ascii="Times New Roman" w:hAnsi="Times New Roman" w:cs="Times New Roman"/>
          <w:sz w:val="24"/>
          <w:szCs w:val="24"/>
        </w:rPr>
        <w:t>°C; nebulizing gas 55 psi; auxiliary gas 55 psi; and curtain gas 35 psi.</w:t>
      </w:r>
      <w:r w:rsidR="0062013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>SCIEX OS software was used to match and analyze the data collected by LC-QTOF</w:t>
      </w:r>
      <w:r w:rsidR="00620130" w:rsidRPr="003E630F">
        <w:rPr>
          <w:rFonts w:ascii="Times New Roman" w:hAnsi="Times New Roman" w:cs="Times New Roman" w:hint="eastAsia"/>
          <w:sz w:val="24"/>
          <w:szCs w:val="24"/>
        </w:rPr>
        <w:t>-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 xml:space="preserve">MS, and normalized with internal standard. The results showed that </w:t>
      </w:r>
      <w:r w:rsidR="00B02650" w:rsidRPr="003E630F">
        <w:rPr>
          <w:rFonts w:ascii="Times New Roman" w:hAnsi="Times New Roman" w:cs="Times New Roman"/>
          <w:sz w:val="24"/>
          <w:szCs w:val="24"/>
        </w:rPr>
        <w:t>more than 3×10</w:t>
      </w:r>
      <w:r w:rsidR="00B02650" w:rsidRPr="003E630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B02650" w:rsidRPr="003E630F">
        <w:rPr>
          <w:rFonts w:ascii="Times New Roman" w:hAnsi="Times New Roman" w:cs="Times New Roman"/>
          <w:sz w:val="24"/>
          <w:szCs w:val="24"/>
        </w:rPr>
        <w:t xml:space="preserve"> pieces of information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 xml:space="preserve"> were detected in </w:t>
      </w:r>
      <w:r w:rsidR="00B02650" w:rsidRPr="003E630F">
        <w:rPr>
          <w:rFonts w:ascii="Times New Roman" w:hAnsi="Times New Roman" w:cs="Times New Roman"/>
          <w:sz w:val="24"/>
          <w:szCs w:val="24"/>
        </w:rPr>
        <w:t>positive sources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 xml:space="preserve"> and nearly </w:t>
      </w:r>
      <w:r w:rsidR="00B02650" w:rsidRPr="003E630F">
        <w:rPr>
          <w:rFonts w:ascii="Times New Roman" w:hAnsi="Times New Roman" w:cs="Times New Roman"/>
          <w:sz w:val="24"/>
          <w:szCs w:val="24"/>
        </w:rPr>
        <w:t>2×10</w:t>
      </w:r>
      <w:r w:rsidR="00B02650" w:rsidRPr="003E630F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B02650" w:rsidRPr="003E630F">
        <w:rPr>
          <w:rFonts w:ascii="Times New Roman" w:hAnsi="Times New Roman" w:cs="Times New Roman"/>
          <w:sz w:val="24"/>
          <w:szCs w:val="24"/>
        </w:rPr>
        <w:t>pieces of information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 xml:space="preserve"> were detected in </w:t>
      </w:r>
      <w:r w:rsidR="00B02650" w:rsidRPr="003E630F">
        <w:rPr>
          <w:rFonts w:ascii="Times New Roman" w:hAnsi="Times New Roman" w:cs="Times New Roman"/>
          <w:sz w:val="24"/>
          <w:szCs w:val="24"/>
        </w:rPr>
        <w:t>negative sources</w:t>
      </w:r>
      <w:r w:rsidR="00B02650" w:rsidRPr="003E630F">
        <w:rPr>
          <w:rFonts w:ascii="Times New Roman" w:hAnsi="Times New Roman" w:cs="Times New Roman" w:hint="eastAsia"/>
          <w:sz w:val="24"/>
          <w:szCs w:val="24"/>
        </w:rPr>
        <w:t>. Subsequently, 1430 characteristic peaks were extracted, and 653 compounds were identified.</w:t>
      </w:r>
    </w:p>
    <w:p w14:paraId="0AB2CED9" w14:textId="08B60B04" w:rsidR="009D5D27" w:rsidRDefault="009D5D27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AD14410" w14:textId="77777777" w:rsidR="009D5D27" w:rsidRPr="009D5D27" w:rsidRDefault="009D5D27" w:rsidP="009D5D27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</w:p>
    <w:p w14:paraId="28230DBC" w14:textId="3C2A10A9" w:rsidR="00F0072C" w:rsidRDefault="00434A01" w:rsidP="00F0072C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noProof/>
          <w:sz w:val="32"/>
          <w:szCs w:val="32"/>
        </w:rPr>
        <w:drawing>
          <wp:inline distT="0" distB="0" distL="0" distR="0" wp14:anchorId="34CE0088" wp14:editId="2ECCFEC7">
            <wp:extent cx="5274310" cy="4297045"/>
            <wp:effectExtent l="0" t="0" r="2540" b="8255"/>
            <wp:docPr id="84440575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405750" name="图片 844405750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29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18BFAE" w14:textId="77777777" w:rsidR="00F0072C" w:rsidRDefault="00F0072C" w:rsidP="00F0072C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0A01BD19" w14:textId="44C439F5" w:rsidR="00D66B74" w:rsidRDefault="00DC2873" w:rsidP="000E5AB9">
      <w:pPr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 xml:space="preserve"> S1</w:t>
      </w:r>
      <w:r w:rsidR="003F44E2">
        <w:rPr>
          <w:rFonts w:ascii="Times New Roman" w:eastAsia="宋体" w:hAnsi="Times New Roman" w:cs="Times New Roman"/>
          <w:sz w:val="24"/>
          <w:szCs w:val="24"/>
        </w:rPr>
        <w:t>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 Representative AFM morphology of SBPNS-BSA-FITC.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) 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>The c</w:t>
      </w:r>
      <w:r w:rsidR="003F44E2">
        <w:rPr>
          <w:rFonts w:ascii="Times New Roman" w:eastAsia="宋体" w:hAnsi="Times New Roman" w:cs="Times New Roman"/>
          <w:sz w:val="24"/>
          <w:szCs w:val="24"/>
        </w:rPr>
        <w:t>orresponding thickness of SBPNS-BSA-FITC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c</w:t>
      </w:r>
      <w:r w:rsidR="003F44E2">
        <w:rPr>
          <w:rFonts w:ascii="Times New Roman" w:eastAsia="宋体" w:hAnsi="Times New Roman" w:cs="Times New Roman"/>
          <w:sz w:val="24"/>
          <w:szCs w:val="24"/>
        </w:rPr>
        <w:t>) Histogram of particle size distribution corresponding to SBPNS-BSA-FITC.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d</w:t>
      </w:r>
      <w:r w:rsidR="003F44E2">
        <w:rPr>
          <w:rFonts w:ascii="Times New Roman" w:eastAsia="宋体" w:hAnsi="Times New Roman" w:cs="Times New Roman"/>
          <w:sz w:val="24"/>
          <w:szCs w:val="24"/>
        </w:rPr>
        <w:t>) Representative AFM morphology of LBPNS-BSA-FITC.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e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) 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>The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corresponding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t</w:t>
      </w:r>
      <w:r w:rsidR="00DA2B50">
        <w:rPr>
          <w:rFonts w:ascii="Times New Roman" w:eastAsia="宋体" w:hAnsi="Times New Roman" w:cs="Times New Roman"/>
          <w:sz w:val="24"/>
          <w:szCs w:val="24"/>
        </w:rPr>
        <w:t>hicknesses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>of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LBPNS-BSA-FITC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=3).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f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) </w:t>
      </w:r>
      <w:r w:rsidR="00DA2B50">
        <w:rPr>
          <w:rFonts w:ascii="Times New Roman" w:eastAsia="宋体" w:hAnsi="Times New Roman" w:cs="Times New Roman"/>
          <w:sz w:val="24"/>
          <w:szCs w:val="24"/>
        </w:rPr>
        <w:t xml:space="preserve">Histogram of particle size distribution corresponding to 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>L</w:t>
      </w:r>
      <w:r w:rsidR="00DA2B50">
        <w:rPr>
          <w:rFonts w:ascii="Times New Roman" w:eastAsia="宋体" w:hAnsi="Times New Roman" w:cs="Times New Roman"/>
          <w:sz w:val="24"/>
          <w:szCs w:val="24"/>
        </w:rPr>
        <w:t>BPNS-BSA-FITC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(</w:t>
      </w:r>
      <w:r w:rsidR="003F44E2">
        <w:rPr>
          <w:rFonts w:ascii="Times New Roman" w:eastAsia="宋体" w:hAnsi="Times New Roman" w:cs="Times New Roman"/>
          <w:sz w:val="24"/>
          <w:szCs w:val="24"/>
        </w:rPr>
        <w:t>The histograms were developed by counting each sample (200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300) and show</w:t>
      </w:r>
      <w:r w:rsidR="002210DD">
        <w:rPr>
          <w:rFonts w:ascii="Times New Roman" w:eastAsia="宋体" w:hAnsi="Times New Roman" w:cs="Times New Roman" w:hint="eastAsia"/>
          <w:sz w:val="24"/>
          <w:szCs w:val="24"/>
        </w:rPr>
        <w:t>ing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Gaussian fitted curves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="003F44E2">
        <w:rPr>
          <w:rFonts w:ascii="Times New Roman" w:eastAsia="宋体" w:hAnsi="Times New Roman" w:cs="Times New Roman"/>
          <w:sz w:val="24"/>
          <w:szCs w:val="24"/>
        </w:rPr>
        <w:t>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g</w:t>
      </w:r>
      <w:r w:rsidR="003F44E2">
        <w:rPr>
          <w:rFonts w:ascii="Times New Roman" w:eastAsia="宋体" w:hAnsi="Times New Roman" w:cs="Times New Roman"/>
          <w:sz w:val="24"/>
          <w:szCs w:val="24"/>
        </w:rPr>
        <w:t>) Representative TEM morphology of SBPNS.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h</w:t>
      </w:r>
      <w:r w:rsidR="003F44E2">
        <w:rPr>
          <w:rFonts w:ascii="Times New Roman" w:eastAsia="宋体" w:hAnsi="Times New Roman" w:cs="Times New Roman"/>
          <w:sz w:val="24"/>
          <w:szCs w:val="24"/>
        </w:rPr>
        <w:t>) Representative TEM morphology of LBPNS.</w:t>
      </w:r>
    </w:p>
    <w:p w14:paraId="6EEE3DC2" w14:textId="3470A73B" w:rsidR="00471D0B" w:rsidRPr="000E5AB9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br w:type="page"/>
      </w:r>
    </w:p>
    <w:p w14:paraId="44FBC6DF" w14:textId="0A1E7253" w:rsidR="00F0072C" w:rsidRDefault="00E07540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/>
          <w:noProof/>
          <w:sz w:val="32"/>
          <w:szCs w:val="32"/>
        </w:rPr>
        <w:lastRenderedPageBreak/>
        <w:drawing>
          <wp:inline distT="0" distB="0" distL="0" distR="0" wp14:anchorId="4D149D5D" wp14:editId="134D63BA">
            <wp:extent cx="4437468" cy="3195874"/>
            <wp:effectExtent l="0" t="0" r="1270" b="5080"/>
            <wp:docPr id="1989695505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9695505" name="图片 198969550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8466" cy="3210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9DC83D" w14:textId="77777777" w:rsidR="000E5AB9" w:rsidRDefault="000E5AB9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7FC0182F" w14:textId="1232C2C3" w:rsidR="00D66B74" w:rsidRDefault="00DC2873" w:rsidP="00F0072C">
      <w:pPr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 xml:space="preserve"> S2</w:t>
      </w:r>
      <w:r w:rsidR="003F44E2">
        <w:rPr>
          <w:rFonts w:ascii="Times New Roman" w:eastAsia="宋体" w:hAnsi="Times New Roman" w:cs="Times New Roman"/>
          <w:sz w:val="24"/>
          <w:szCs w:val="24"/>
        </w:rPr>
        <w:t>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 Microscopic infrared mapping (FTIR) of BPNS-BSA-FITC.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) Micro-infrared </w:t>
      </w:r>
      <w:r w:rsidR="00DA2B50">
        <w:rPr>
          <w:rFonts w:ascii="Times New Roman" w:eastAsia="宋体" w:hAnsi="Times New Roman" w:cs="Times New Roman"/>
          <w:sz w:val="24"/>
          <w:szCs w:val="24"/>
        </w:rPr>
        <w:t>mapping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(FTIR) of BPNS.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c</w:t>
      </w:r>
      <w:r w:rsidR="003F44E2">
        <w:rPr>
          <w:rFonts w:ascii="Times New Roman" w:eastAsia="宋体" w:hAnsi="Times New Roman" w:cs="Times New Roman"/>
          <w:sz w:val="24"/>
          <w:szCs w:val="24"/>
        </w:rPr>
        <w:t>) Bright field image of BPNS-BSA-FITC. (</w:t>
      </w:r>
      <w:r w:rsidR="00434A01">
        <w:rPr>
          <w:rFonts w:ascii="Times New Roman" w:eastAsia="宋体" w:hAnsi="Times New Roman" w:cs="Times New Roman" w:hint="eastAsia"/>
          <w:sz w:val="24"/>
          <w:szCs w:val="24"/>
        </w:rPr>
        <w:t>d</w:t>
      </w:r>
      <w:r w:rsidR="003F44E2">
        <w:rPr>
          <w:rFonts w:ascii="Times New Roman" w:eastAsia="宋体" w:hAnsi="Times New Roman" w:cs="Times New Roman"/>
          <w:sz w:val="24"/>
          <w:szCs w:val="24"/>
        </w:rPr>
        <w:t>) Fluorescence picture of BPNS-BSA-FITC (Ex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488 nm).</w:t>
      </w:r>
    </w:p>
    <w:p w14:paraId="0B0D6B08" w14:textId="61F12C30" w:rsidR="008577D9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br w:type="page"/>
      </w:r>
    </w:p>
    <w:p w14:paraId="31603712" w14:textId="6EFE5054" w:rsidR="00471D0B" w:rsidRDefault="00222EAA" w:rsidP="000E5AB9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noProof/>
          <w:sz w:val="32"/>
          <w:szCs w:val="32"/>
        </w:rPr>
        <w:lastRenderedPageBreak/>
        <w:drawing>
          <wp:inline distT="0" distB="0" distL="0" distR="0" wp14:anchorId="2D5CA6F2" wp14:editId="76A6E0B3">
            <wp:extent cx="5251010" cy="2847405"/>
            <wp:effectExtent l="0" t="0" r="6985" b="0"/>
            <wp:docPr id="110596988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969889" name="图片 1105969889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6674" cy="285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1DEF03" w14:textId="77777777" w:rsidR="00F0072C" w:rsidRDefault="00F0072C" w:rsidP="004B3E7A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532D7399" w14:textId="31F30CA4" w:rsidR="00471D0B" w:rsidRDefault="00DC2873" w:rsidP="00F0072C">
      <w:pPr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 w:hint="eastAsia"/>
          <w:b/>
          <w:bCs/>
          <w:sz w:val="24"/>
          <w:szCs w:val="24"/>
        </w:rPr>
        <w:t xml:space="preserve"> S3</w:t>
      </w:r>
      <w:r w:rsidR="003F44E2">
        <w:rPr>
          <w:rFonts w:ascii="Times New Roman" w:eastAsia="宋体" w:hAnsi="Times New Roman" w:cs="Times New Roman" w:hint="eastAsia"/>
          <w:sz w:val="24"/>
          <w:szCs w:val="24"/>
        </w:rPr>
        <w:t xml:space="preserve">. </w:t>
      </w:r>
      <w:r w:rsidR="003F44E2">
        <w:rPr>
          <w:rFonts w:ascii="Times New Roman" w:eastAsia="宋体" w:hAnsi="Times New Roman" w:cs="Times New Roman"/>
          <w:sz w:val="24"/>
          <w:szCs w:val="24"/>
        </w:rPr>
        <w:t>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 FITC loading of SBPNS-BSA-FITC and LBPNS-BSA-FITC (Ex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490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nm</w:t>
      </w:r>
      <w:r w:rsidR="003F44E2">
        <w:rPr>
          <w:rFonts w:ascii="Times New Roman" w:eastAsia="宋体" w:hAnsi="Times New Roman" w:cs="Times New Roman"/>
          <w:sz w:val="24"/>
          <w:szCs w:val="24"/>
        </w:rPr>
        <w:t>, Em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520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nm</w:t>
      </w:r>
      <w:r w:rsidR="003F44E2">
        <w:rPr>
          <w:rFonts w:ascii="Times New Roman" w:eastAsia="宋体" w:hAnsi="Times New Roman" w:cs="Times New Roman"/>
          <w:sz w:val="24"/>
          <w:szCs w:val="24"/>
        </w:rPr>
        <w:t>, 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>) Standard curve of UV absorbance versus fluorescence intensity of BPNS-BSA-FITC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c</w:t>
      </w:r>
      <w:r w:rsidR="003F44E2">
        <w:rPr>
          <w:rFonts w:ascii="Times New Roman" w:eastAsia="宋体" w:hAnsi="Times New Roman" w:cs="Times New Roman"/>
          <w:sz w:val="24"/>
          <w:szCs w:val="24"/>
        </w:rPr>
        <w:t>) Standard curve of UV absorbance versus fluorescence intensity of FITC concentration (Abs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490 nm, 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d</w:t>
      </w:r>
      <w:r w:rsidR="003F44E2">
        <w:rPr>
          <w:rFonts w:ascii="Times New Roman" w:eastAsia="宋体" w:hAnsi="Times New Roman" w:cs="Times New Roman"/>
          <w:sz w:val="24"/>
          <w:szCs w:val="24"/>
        </w:rPr>
        <w:t>) Fluorescence intensity of BPNS-BSA-FITC at 0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24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2210DD">
        <w:rPr>
          <w:rFonts w:ascii="Times New Roman" w:eastAsia="宋体" w:hAnsi="Times New Roman" w:cs="Times New Roman"/>
          <w:sz w:val="24"/>
          <w:szCs w:val="24"/>
        </w:rPr>
        <w:t>h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(n=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e</w:t>
      </w:r>
      <w:r w:rsidR="003F44E2">
        <w:rPr>
          <w:rFonts w:ascii="Times New Roman" w:eastAsia="宋体" w:hAnsi="Times New Roman" w:cs="Times New Roman"/>
          <w:sz w:val="24"/>
          <w:szCs w:val="24"/>
        </w:rPr>
        <w:t>) Fluorescence intensity of BPNS-BSA-FITC during 0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7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d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f</w:t>
      </w:r>
      <w:r w:rsidR="003F44E2">
        <w:rPr>
          <w:rFonts w:ascii="Times New Roman" w:eastAsia="宋体" w:hAnsi="Times New Roman" w:cs="Times New Roman"/>
          <w:sz w:val="24"/>
          <w:szCs w:val="24"/>
        </w:rPr>
        <w:t>) Ratio of fluorescence intensity of BPNS-BSA-FITC after washing to initial fluorescence intensity in 0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24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2210DD">
        <w:rPr>
          <w:rFonts w:ascii="Times New Roman" w:eastAsia="宋体" w:hAnsi="Times New Roman" w:cs="Times New Roman"/>
          <w:sz w:val="24"/>
          <w:szCs w:val="24"/>
        </w:rPr>
        <w:t>h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</w:t>
      </w:r>
    </w:p>
    <w:p w14:paraId="7E1BA574" w14:textId="1140657A" w:rsidR="00967960" w:rsidRDefault="00D66B74" w:rsidP="00D66B74">
      <w:pPr>
        <w:widowControl/>
        <w:jc w:val="left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sz w:val="32"/>
          <w:szCs w:val="32"/>
        </w:rPr>
        <w:br w:type="page"/>
      </w:r>
    </w:p>
    <w:p w14:paraId="1099AB9D" w14:textId="28EBF2DE" w:rsidR="00471D0B" w:rsidRDefault="00222EAA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noProof/>
          <w:sz w:val="32"/>
          <w:szCs w:val="32"/>
        </w:rPr>
        <w:lastRenderedPageBreak/>
        <w:drawing>
          <wp:inline distT="0" distB="0" distL="0" distR="0" wp14:anchorId="7ED0E75E" wp14:editId="62B34AE7">
            <wp:extent cx="4488873" cy="3739287"/>
            <wp:effectExtent l="0" t="0" r="6985" b="0"/>
            <wp:docPr id="72275596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755963" name="图片 72275596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7626" cy="3754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441192" w14:textId="77777777" w:rsidR="00F0072C" w:rsidRDefault="00F0072C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655CD741" w14:textId="12E03B73" w:rsidR="00D66B74" w:rsidRDefault="00DC2873">
      <w:pPr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 xml:space="preserve"> S4</w:t>
      </w:r>
      <w:r w:rsidR="003F44E2">
        <w:rPr>
          <w:rFonts w:ascii="Times New Roman" w:eastAsia="宋体" w:hAnsi="Times New Roman" w:cs="Times New Roman"/>
          <w:sz w:val="24"/>
          <w:szCs w:val="24"/>
        </w:rPr>
        <w:t>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 Typical transmission electron micrograph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(TEM)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of A549 cells not treated with SBPNS-BSA-FITC.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>) Typical transmission electron micrograph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(TEM)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of SBPN-BSA-FITC in A549 cells.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c</w:t>
      </w:r>
      <w:r w:rsidR="003F44E2">
        <w:rPr>
          <w:rFonts w:ascii="Times New Roman" w:eastAsia="宋体" w:hAnsi="Times New Roman" w:cs="Times New Roman"/>
          <w:sz w:val="24"/>
          <w:szCs w:val="24"/>
        </w:rPr>
        <w:t>) Typical transmission electron micrograph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(TEM)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of LBPN-BSA-FITC in A549 cells. (</w:t>
      </w:r>
      <w:r w:rsidR="00222EAA">
        <w:rPr>
          <w:rFonts w:ascii="Times New Roman" w:eastAsia="宋体" w:hAnsi="Times New Roman" w:cs="Times New Roman" w:hint="eastAsia"/>
          <w:sz w:val="24"/>
          <w:szCs w:val="24"/>
        </w:rPr>
        <w:t>d</w:t>
      </w:r>
      <w:r w:rsidR="003F44E2">
        <w:rPr>
          <w:rFonts w:ascii="Times New Roman" w:eastAsia="宋体" w:hAnsi="Times New Roman" w:cs="Times New Roman"/>
          <w:sz w:val="24"/>
          <w:szCs w:val="24"/>
        </w:rPr>
        <w:t>) Cell viability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was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measured by Amiloride, MβCD, Dynasore</w:t>
      </w:r>
      <w:r w:rsidR="002210DD">
        <w:rPr>
          <w:rFonts w:ascii="Times New Roman" w:eastAsia="宋体" w:hAnsi="Times New Roman" w:cs="Times New Roman" w:hint="eastAsia"/>
          <w:sz w:val="24"/>
          <w:szCs w:val="24"/>
        </w:rPr>
        <w:t xml:space="preserve">, </w:t>
      </w:r>
      <w:r w:rsidR="003F44E2">
        <w:rPr>
          <w:rFonts w:ascii="Times New Roman" w:eastAsia="宋体" w:hAnsi="Times New Roman" w:cs="Times New Roman"/>
          <w:sz w:val="24"/>
          <w:szCs w:val="24"/>
        </w:rPr>
        <w:t>and solvent DMSO corresponding to CCK-8 reagent (n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3).</w:t>
      </w:r>
    </w:p>
    <w:p w14:paraId="78C0AE00" w14:textId="25327C9E" w:rsidR="0039022B" w:rsidRPr="009D5D27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br w:type="page"/>
      </w:r>
    </w:p>
    <w:p w14:paraId="52EE8F3C" w14:textId="48D90DB5" w:rsidR="004E6450" w:rsidRDefault="000E5AB9" w:rsidP="00D61466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/>
          <w:noProof/>
          <w:sz w:val="32"/>
          <w:szCs w:val="32"/>
        </w:rPr>
        <w:lastRenderedPageBreak/>
        <w:drawing>
          <wp:inline distT="0" distB="0" distL="0" distR="0" wp14:anchorId="49EFB54A" wp14:editId="7A56FFF9">
            <wp:extent cx="5274310" cy="5834380"/>
            <wp:effectExtent l="0" t="0" r="2540" b="0"/>
            <wp:docPr id="395748267" name="图片 7" descr="图示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5748267" name="图片 7" descr="图示&#10;&#10;AI 生成的内容可能不正确。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34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95662" w14:textId="77777777" w:rsidR="00A87771" w:rsidRDefault="00A87771" w:rsidP="000E5AB9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3729182A" w14:textId="0A61D8BA" w:rsidR="00D66B74" w:rsidRDefault="00DC2873">
      <w:pPr>
        <w:rPr>
          <w:rFonts w:ascii="Times New Roman" w:eastAsia="宋体" w:hAnsi="Times New Roman" w:cs="Times New Roman"/>
          <w:sz w:val="24"/>
          <w:szCs w:val="24"/>
        </w:rPr>
      </w:pPr>
      <w:bookmarkStart w:id="6" w:name="_Hlk161586162"/>
      <w:r>
        <w:rPr>
          <w:rFonts w:ascii="Times New Roman" w:eastAsia="宋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 xml:space="preserve"> S5</w:t>
      </w:r>
      <w:r w:rsidR="003F44E2">
        <w:rPr>
          <w:rFonts w:ascii="Times New Roman" w:eastAsia="宋体" w:hAnsi="Times New Roman" w:cs="Times New Roman"/>
          <w:sz w:val="24"/>
          <w:szCs w:val="24"/>
        </w:rPr>
        <w:t>. (</w:t>
      </w:r>
      <w:r w:rsidR="00E66ADB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 Fluorescence images of cells ingesting 10,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5,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2.5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μg/mL of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SBPNS-BSA-FITC </w:t>
      </w:r>
      <w:r w:rsidR="00F0072C">
        <w:rPr>
          <w:rFonts w:ascii="Times New Roman" w:eastAsia="宋体" w:hAnsi="Times New Roman" w:cs="Times New Roman"/>
          <w:sz w:val="24"/>
          <w:szCs w:val="24"/>
        </w:rPr>
        <w:t>within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0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8 </w:t>
      </w:r>
      <w:r w:rsidR="002210DD">
        <w:rPr>
          <w:rFonts w:ascii="Times New Roman" w:eastAsia="宋体" w:hAnsi="Times New Roman" w:cs="Times New Roman"/>
          <w:sz w:val="24"/>
          <w:szCs w:val="24"/>
        </w:rPr>
        <w:t>h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(Ex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488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nm). (</w:t>
      </w:r>
      <w:r w:rsidR="00E66ADB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>) Fluorescence images of cells ingesting 10,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5,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2.5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μg/mL of SBPNS-BSA-FITC within 10</w:t>
      </w:r>
      <w:r w:rsidR="00784AA2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-</w:t>
      </w:r>
      <w:r w:rsidR="00784AA2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34 </w:t>
      </w:r>
      <w:r w:rsidR="002210DD">
        <w:rPr>
          <w:rFonts w:ascii="Times New Roman" w:eastAsia="宋体" w:hAnsi="Times New Roman" w:cs="Times New Roman"/>
          <w:sz w:val="24"/>
          <w:szCs w:val="24"/>
        </w:rPr>
        <w:t>h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(Ex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488 nm).</w:t>
      </w:r>
      <w:bookmarkEnd w:id="6"/>
    </w:p>
    <w:p w14:paraId="68186183" w14:textId="4E58A453" w:rsidR="00471D0B" w:rsidRPr="00D66B74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br w:type="page"/>
      </w:r>
    </w:p>
    <w:p w14:paraId="3E90CFD6" w14:textId="5BEDF43F" w:rsidR="00471D0B" w:rsidRDefault="000E5AB9" w:rsidP="00D61466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/>
          <w:noProof/>
          <w:sz w:val="32"/>
          <w:szCs w:val="32"/>
        </w:rPr>
        <w:lastRenderedPageBreak/>
        <w:drawing>
          <wp:inline distT="0" distB="0" distL="0" distR="0" wp14:anchorId="52BFF4DE" wp14:editId="4B0E3012">
            <wp:extent cx="5274310" cy="5767070"/>
            <wp:effectExtent l="0" t="0" r="2540" b="5080"/>
            <wp:docPr id="1871031714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031714" name="图片 1871031714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0857" cy="5774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5EB9C8" w14:textId="77777777" w:rsidR="00A87771" w:rsidRDefault="00A87771" w:rsidP="000E5AB9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5A4811F0" w14:textId="274EA121" w:rsidR="00D66B74" w:rsidRDefault="00DC2873">
      <w:pPr>
        <w:rPr>
          <w:rFonts w:ascii="Times New Roman" w:eastAsia="黑体" w:hAnsi="Times New Roman" w:cs="Times New Roman"/>
          <w:sz w:val="24"/>
          <w:szCs w:val="24"/>
        </w:rPr>
      </w:pPr>
      <w:r>
        <w:rPr>
          <w:rFonts w:ascii="Times New Roman" w:eastAsia="黑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黑体" w:hAnsi="Times New Roman" w:cs="Times New Roman"/>
          <w:b/>
          <w:bCs/>
          <w:sz w:val="24"/>
          <w:szCs w:val="24"/>
        </w:rPr>
        <w:t xml:space="preserve"> S6</w:t>
      </w:r>
      <w:r w:rsidR="003F44E2">
        <w:rPr>
          <w:rFonts w:ascii="Times New Roman" w:eastAsia="黑体" w:hAnsi="Times New Roman" w:cs="Times New Roman"/>
          <w:sz w:val="24"/>
          <w:szCs w:val="24"/>
        </w:rPr>
        <w:t>. (</w:t>
      </w:r>
      <w:r w:rsidR="0087300D">
        <w:rPr>
          <w:rFonts w:ascii="Times New Roman" w:eastAsia="黑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黑体" w:hAnsi="Times New Roman" w:cs="Times New Roman"/>
          <w:sz w:val="24"/>
          <w:szCs w:val="24"/>
        </w:rPr>
        <w:t>) Fluorescence images of cells ingesting 10,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5,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2.5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μg/mL of LBPNS-BSA-FITC </w:t>
      </w:r>
      <w:r w:rsidR="00F0072C">
        <w:rPr>
          <w:rFonts w:ascii="Times New Roman" w:eastAsia="宋体" w:hAnsi="Times New Roman" w:cs="Times New Roman"/>
          <w:sz w:val="24"/>
          <w:szCs w:val="24"/>
        </w:rPr>
        <w:t>within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 0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-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8 </w:t>
      </w:r>
      <w:r w:rsidR="002210DD">
        <w:rPr>
          <w:rFonts w:ascii="Times New Roman" w:eastAsia="黑体" w:hAnsi="Times New Roman" w:cs="Times New Roman"/>
          <w:sz w:val="24"/>
          <w:szCs w:val="24"/>
        </w:rPr>
        <w:t>h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 (Ex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=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488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nm). (</w:t>
      </w:r>
      <w:r w:rsidR="0087300D">
        <w:rPr>
          <w:rFonts w:ascii="Times New Roman" w:eastAsia="黑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黑体" w:hAnsi="Times New Roman" w:cs="Times New Roman"/>
          <w:sz w:val="24"/>
          <w:szCs w:val="24"/>
        </w:rPr>
        <w:t>) Fluorescence images of cells ingesting 10,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5,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2.5</w:t>
      </w:r>
      <w:r w:rsidR="00DA2B50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μg/mL of LBPNS-BSA-FITC </w:t>
      </w:r>
      <w:r w:rsidR="00F0072C">
        <w:rPr>
          <w:rFonts w:ascii="Times New Roman" w:eastAsia="宋体" w:hAnsi="Times New Roman" w:cs="Times New Roman"/>
          <w:sz w:val="24"/>
          <w:szCs w:val="24"/>
        </w:rPr>
        <w:t>within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 10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-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34 </w:t>
      </w:r>
      <w:r w:rsidR="002210DD">
        <w:rPr>
          <w:rFonts w:ascii="Times New Roman" w:eastAsia="黑体" w:hAnsi="Times New Roman" w:cs="Times New Roman"/>
          <w:sz w:val="24"/>
          <w:szCs w:val="24"/>
        </w:rPr>
        <w:t>h</w:t>
      </w:r>
      <w:r w:rsidR="003F44E2">
        <w:rPr>
          <w:rFonts w:ascii="Times New Roman" w:eastAsia="黑体" w:hAnsi="Times New Roman" w:cs="Times New Roman"/>
          <w:sz w:val="24"/>
          <w:szCs w:val="24"/>
        </w:rPr>
        <w:t xml:space="preserve"> (Ex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=</w:t>
      </w:r>
      <w:r w:rsidR="000A445B">
        <w:rPr>
          <w:rFonts w:ascii="Times New Roman" w:eastAsia="黑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黑体" w:hAnsi="Times New Roman" w:cs="Times New Roman"/>
          <w:sz w:val="24"/>
          <w:szCs w:val="24"/>
        </w:rPr>
        <w:t>488 nm).</w:t>
      </w:r>
    </w:p>
    <w:p w14:paraId="0E31CB3D" w14:textId="2FEE0AA2" w:rsidR="00471D0B" w:rsidRPr="009D5D27" w:rsidRDefault="00D66B74" w:rsidP="00D66B74">
      <w:pPr>
        <w:widowControl/>
        <w:jc w:val="left"/>
        <w:rPr>
          <w:rFonts w:ascii="Times New Roman" w:eastAsia="黑体" w:hAnsi="Times New Roman" w:cs="Times New Roman"/>
          <w:sz w:val="24"/>
          <w:szCs w:val="24"/>
        </w:rPr>
      </w:pPr>
      <w:r>
        <w:rPr>
          <w:rFonts w:ascii="Times New Roman" w:eastAsia="黑体" w:hAnsi="Times New Roman" w:cs="Times New Roman"/>
          <w:sz w:val="24"/>
          <w:szCs w:val="24"/>
        </w:rPr>
        <w:br w:type="page"/>
      </w:r>
    </w:p>
    <w:p w14:paraId="19E50286" w14:textId="5CF03D54" w:rsidR="00471D0B" w:rsidRDefault="00A04B96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noProof/>
          <w:sz w:val="32"/>
          <w:szCs w:val="32"/>
        </w:rPr>
        <w:lastRenderedPageBreak/>
        <w:drawing>
          <wp:inline distT="0" distB="0" distL="0" distR="0" wp14:anchorId="076DA4D3" wp14:editId="637D455E">
            <wp:extent cx="5081387" cy="2785403"/>
            <wp:effectExtent l="0" t="0" r="5080" b="0"/>
            <wp:docPr id="232488008" name="图片 1" descr="地图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488008" name="图片 1" descr="地图&#10;&#10;AI 生成的内容可能不正确。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0019" cy="2795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31198D" w14:textId="77777777" w:rsidR="00A87771" w:rsidRDefault="00A87771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019E9C76" w14:textId="4B2E444E" w:rsidR="00D66B74" w:rsidRDefault="00DC2873" w:rsidP="00710C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hAnsi="Times New Roman" w:cs="Times New Roman"/>
          <w:b/>
          <w:bCs/>
          <w:sz w:val="24"/>
          <w:szCs w:val="24"/>
        </w:rPr>
        <w:t xml:space="preserve"> S7.</w:t>
      </w:r>
      <w:r w:rsidR="003F44E2">
        <w:rPr>
          <w:rFonts w:ascii="Times New Roman" w:hAnsi="Times New Roman" w:cs="Times New Roman"/>
          <w:sz w:val="24"/>
          <w:szCs w:val="24"/>
        </w:rPr>
        <w:t xml:space="preserve"> (</w:t>
      </w:r>
      <w:r w:rsidR="00A04B96">
        <w:rPr>
          <w:rFonts w:ascii="Times New Roman" w:hAnsi="Times New Roman" w:cs="Times New Roman" w:hint="eastAsia"/>
          <w:sz w:val="24"/>
          <w:szCs w:val="24"/>
        </w:rPr>
        <w:t>a</w:t>
      </w:r>
      <w:r w:rsidR="003F44E2">
        <w:rPr>
          <w:rFonts w:ascii="Times New Roman" w:hAnsi="Times New Roman" w:cs="Times New Roman"/>
          <w:sz w:val="24"/>
          <w:szCs w:val="24"/>
        </w:rPr>
        <w:t>) Typical transmission electron micrograph (TEM) of BPNS inside a cell (red: BPNS; green: cell membrane; blue: blank). (</w:t>
      </w:r>
      <w:r w:rsidR="00A04B96">
        <w:rPr>
          <w:rFonts w:ascii="Times New Roman" w:hAnsi="Times New Roman" w:cs="Times New Roman" w:hint="eastAsia"/>
          <w:sz w:val="24"/>
          <w:szCs w:val="24"/>
        </w:rPr>
        <w:t>b</w:t>
      </w:r>
      <w:r w:rsidR="003F44E2">
        <w:rPr>
          <w:rFonts w:ascii="Times New Roman" w:hAnsi="Times New Roman" w:cs="Times New Roman"/>
          <w:sz w:val="24"/>
          <w:szCs w:val="24"/>
        </w:rPr>
        <w:t xml:space="preserve">) Elemental point measurements at the corresponding positions in </w:t>
      </w:r>
      <w:r>
        <w:rPr>
          <w:rFonts w:ascii="Times New Roman" w:hAnsi="Times New Roman" w:cs="Times New Roman"/>
          <w:sz w:val="24"/>
          <w:szCs w:val="24"/>
        </w:rPr>
        <w:t>Figure</w:t>
      </w:r>
      <w:r w:rsidR="00784AA2">
        <w:rPr>
          <w:rFonts w:ascii="Times New Roman" w:hAnsi="Times New Roman" w:cs="Times New Roman" w:hint="eastAsia"/>
          <w:sz w:val="24"/>
          <w:szCs w:val="24"/>
        </w:rPr>
        <w:t>. S7</w:t>
      </w:r>
      <w:r w:rsidR="00F776C1">
        <w:rPr>
          <w:rFonts w:ascii="Times New Roman" w:hAnsi="Times New Roman" w:cs="Times New Roman" w:hint="eastAsia"/>
          <w:sz w:val="24"/>
          <w:szCs w:val="24"/>
        </w:rPr>
        <w:t>a</w:t>
      </w:r>
      <w:r w:rsidR="003F44E2">
        <w:rPr>
          <w:rFonts w:ascii="Times New Roman" w:hAnsi="Times New Roman" w:cs="Times New Roman"/>
          <w:sz w:val="24"/>
          <w:szCs w:val="24"/>
        </w:rPr>
        <w:t>.</w:t>
      </w:r>
    </w:p>
    <w:p w14:paraId="6F7DA02F" w14:textId="0EECD7BF" w:rsidR="009218E4" w:rsidRDefault="00D66B74" w:rsidP="00D66B74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D57024A" w14:textId="0BD21A2E" w:rsidR="00471D0B" w:rsidRDefault="00FA4260">
      <w:pPr>
        <w:jc w:val="center"/>
        <w:rPr>
          <w:rFonts w:ascii="黑体" w:eastAsia="黑体" w:hAnsi="黑体" w:cs="Times New Roman" w:hint="eastAsia"/>
          <w:sz w:val="32"/>
          <w:szCs w:val="32"/>
        </w:rPr>
      </w:pPr>
      <w:r>
        <w:rPr>
          <w:rFonts w:ascii="黑体" w:eastAsia="黑体" w:hAnsi="黑体" w:cs="Times New Roman" w:hint="eastAsia"/>
          <w:noProof/>
          <w:sz w:val="32"/>
          <w:szCs w:val="32"/>
        </w:rPr>
        <w:lastRenderedPageBreak/>
        <w:drawing>
          <wp:inline distT="0" distB="0" distL="0" distR="0" wp14:anchorId="16430924" wp14:editId="127C0425">
            <wp:extent cx="5274310" cy="4166235"/>
            <wp:effectExtent l="0" t="0" r="2540" b="5715"/>
            <wp:docPr id="134080318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803184" name="图片 1340803184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6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725CD4" w14:textId="77777777" w:rsidR="00A87771" w:rsidRDefault="00A87771">
      <w:pPr>
        <w:jc w:val="center"/>
        <w:rPr>
          <w:rFonts w:ascii="黑体" w:eastAsia="黑体" w:hAnsi="黑体" w:cs="Times New Roman" w:hint="eastAsia"/>
          <w:sz w:val="32"/>
          <w:szCs w:val="32"/>
        </w:rPr>
      </w:pPr>
    </w:p>
    <w:p w14:paraId="52B36220" w14:textId="4ABFF9A6" w:rsidR="00D66B74" w:rsidRDefault="00DC2873" w:rsidP="00F04115">
      <w:pPr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 w:hint="eastAsia"/>
          <w:b/>
          <w:bCs/>
          <w:sz w:val="24"/>
          <w:szCs w:val="24"/>
        </w:rPr>
        <w:t xml:space="preserve"> S8.</w:t>
      </w:r>
      <w:r w:rsidR="00DA2B50">
        <w:rPr>
          <w:rFonts w:ascii="Times New Roman" w:eastAsia="宋体" w:hAnsi="Times New Roman" w:cs="Times New Roman" w:hint="eastAsia"/>
          <w:b/>
          <w:bCs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Typical transmission electron microscopy (TEM) of the Endoplasmic Reticulum, Nucleus, and other organelles of SBPNS-BSA-FITC and LBPNS-BSA-FITC after 24</w:t>
      </w:r>
      <w:r w:rsidR="00DA2B5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2210DD">
        <w:rPr>
          <w:rFonts w:ascii="Times New Roman" w:eastAsia="宋体" w:hAnsi="Times New Roman" w:cs="Times New Roman"/>
          <w:sz w:val="24"/>
          <w:szCs w:val="24"/>
        </w:rPr>
        <w:t>h</w:t>
      </w:r>
      <w:r w:rsidR="002210DD">
        <w:rPr>
          <w:rFonts w:ascii="Times New Roman" w:eastAsia="宋体" w:hAnsi="Times New Roman" w:cs="Times New Roman" w:hint="eastAsia"/>
          <w:sz w:val="24"/>
          <w:szCs w:val="24"/>
        </w:rPr>
        <w:t xml:space="preserve"> of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exposure.</w:t>
      </w:r>
    </w:p>
    <w:p w14:paraId="26A95F76" w14:textId="2ABBDA6B" w:rsidR="00A04B96" w:rsidRPr="00F04115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sz w:val="24"/>
          <w:szCs w:val="24"/>
        </w:rPr>
        <w:br w:type="page"/>
      </w:r>
    </w:p>
    <w:p w14:paraId="0AE14DC9" w14:textId="4A8EEA59" w:rsidR="00A04B96" w:rsidRDefault="00F04115" w:rsidP="004E6450">
      <w:pPr>
        <w:spacing w:beforeLines="50" w:before="156"/>
        <w:jc w:val="center"/>
        <w:rPr>
          <w:rFonts w:ascii="Times New Roman" w:eastAsia="宋体" w:hAnsi="Times New Roman" w:cs="Times New Roman"/>
          <w:b/>
          <w:bCs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67C13072" wp14:editId="24CC60D1">
            <wp:extent cx="4778734" cy="5718256"/>
            <wp:effectExtent l="0" t="0" r="3175" b="0"/>
            <wp:docPr id="2135833062" name="图片 4" descr="图片包含 图表&#10;&#10;AI 生成的内容可能不正确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833062" name="图片 4" descr="图片包含 图表&#10;&#10;AI 生成的内容可能不正确。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3507" cy="5723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2CABE1" w14:textId="77777777" w:rsidR="00A87771" w:rsidRDefault="00A87771" w:rsidP="004E6450">
      <w:pPr>
        <w:spacing w:beforeLines="50" w:before="156"/>
        <w:jc w:val="center"/>
        <w:rPr>
          <w:rFonts w:ascii="Times New Roman" w:eastAsia="宋体" w:hAnsi="Times New Roman" w:cs="Times New Roman"/>
          <w:b/>
          <w:bCs/>
          <w:sz w:val="24"/>
          <w:szCs w:val="24"/>
        </w:rPr>
      </w:pPr>
    </w:p>
    <w:p w14:paraId="113CA09E" w14:textId="7473A200" w:rsidR="00D66B74" w:rsidRDefault="00A04B96" w:rsidP="009D5D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sz w:val="24"/>
          <w:szCs w:val="24"/>
        </w:rPr>
        <w:t>Figure S</w:t>
      </w: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9</w:t>
      </w:r>
      <w:r w:rsidR="005B7C26">
        <w:rPr>
          <w:rFonts w:ascii="Times New Roman" w:eastAsia="宋体" w:hAnsi="Times New Roman" w:cs="Times New Roman" w:hint="eastAsia"/>
          <w:b/>
          <w:bCs/>
          <w:sz w:val="24"/>
          <w:szCs w:val="24"/>
        </w:rPr>
        <w:t xml:space="preserve">. </w:t>
      </w:r>
      <w:r w:rsidR="005B7C26" w:rsidRPr="005B7C26">
        <w:rPr>
          <w:rFonts w:ascii="Times New Roman" w:eastAsia="宋体" w:hAnsi="Times New Roman" w:cs="Times New Roman" w:hint="eastAsia"/>
          <w:sz w:val="24"/>
          <w:szCs w:val="24"/>
        </w:rPr>
        <w:t>(a) TEM morphology characterization of BPNS-Au</w:t>
      </w:r>
      <w:r w:rsidR="009D5D27">
        <w:rPr>
          <w:rFonts w:ascii="Times New Roman" w:eastAsia="宋体" w:hAnsi="Times New Roman" w:cs="Times New Roman" w:hint="eastAsia"/>
          <w:sz w:val="24"/>
          <w:szCs w:val="24"/>
        </w:rPr>
        <w:t>.</w:t>
      </w:r>
      <w:r w:rsidR="005B7C26" w:rsidRPr="005B7C26">
        <w:rPr>
          <w:rFonts w:ascii="Times New Roman" w:eastAsia="宋体" w:hAnsi="Times New Roman" w:cs="Times New Roman" w:hint="eastAsia"/>
          <w:sz w:val="24"/>
          <w:szCs w:val="24"/>
        </w:rPr>
        <w:t xml:space="preserve"> (b) SEM morphology characterization of BPNS-Au</w:t>
      </w:r>
      <w:r w:rsidR="009D5D27">
        <w:rPr>
          <w:rFonts w:ascii="Times New Roman" w:eastAsia="宋体" w:hAnsi="Times New Roman" w:cs="Times New Roman" w:hint="eastAsia"/>
          <w:sz w:val="24"/>
          <w:szCs w:val="24"/>
        </w:rPr>
        <w:t>.</w:t>
      </w:r>
      <w:r w:rsidR="005B7C26" w:rsidRPr="005B7C26">
        <w:rPr>
          <w:rFonts w:ascii="Times New Roman" w:eastAsia="宋体" w:hAnsi="Times New Roman" w:cs="Times New Roman" w:hint="eastAsia"/>
          <w:sz w:val="24"/>
          <w:szCs w:val="24"/>
        </w:rPr>
        <w:t xml:space="preserve"> (c) EDS spectroscopy analysis of BPNS-Au</w:t>
      </w:r>
      <w:r w:rsidR="009D5D27">
        <w:rPr>
          <w:rFonts w:ascii="Times New Roman" w:eastAsia="宋体" w:hAnsi="Times New Roman" w:cs="Times New Roman" w:hint="eastAsia"/>
          <w:sz w:val="24"/>
          <w:szCs w:val="24"/>
        </w:rPr>
        <w:t>.</w:t>
      </w:r>
      <w:r w:rsidR="005B7C26" w:rsidRPr="005B7C26">
        <w:rPr>
          <w:rFonts w:ascii="Times New Roman" w:eastAsia="宋体" w:hAnsi="Times New Roman" w:cs="Times New Roman" w:hint="eastAsia"/>
          <w:sz w:val="24"/>
          <w:szCs w:val="24"/>
        </w:rPr>
        <w:t xml:space="preserve"> (d) UV-Vis spectra of BPNS and BPNS-Au</w:t>
      </w:r>
      <w:r w:rsidR="009D5D27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(n</w:t>
      </w:r>
      <w:r w:rsidR="009D5D2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=</w:t>
      </w:r>
      <w:r w:rsidR="009D5D2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3)</w:t>
      </w:r>
      <w:r w:rsidR="009D5D27">
        <w:rPr>
          <w:rFonts w:ascii="Times New Roman" w:hAnsi="Times New Roman" w:cs="Times New Roman" w:hint="eastAsia"/>
          <w:sz w:val="24"/>
          <w:szCs w:val="24"/>
        </w:rPr>
        <w:t>.</w:t>
      </w:r>
      <w:r w:rsidR="005B7C26" w:rsidRPr="005B7C26">
        <w:rPr>
          <w:rFonts w:ascii="Times New Roman" w:eastAsia="宋体" w:hAnsi="Times New Roman" w:cs="Times New Roman" w:hint="eastAsia"/>
          <w:sz w:val="24"/>
          <w:szCs w:val="24"/>
        </w:rPr>
        <w:t xml:space="preserve"> (e) Au loading rate of BPNS</w:t>
      </w:r>
      <w:r w:rsidR="009D5D27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(n</w:t>
      </w:r>
      <w:r w:rsidR="009D5D2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=</w:t>
      </w:r>
      <w:r w:rsidR="009D5D27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9D5D27">
        <w:rPr>
          <w:rFonts w:ascii="Times New Roman" w:hAnsi="Times New Roman" w:cs="Times New Roman"/>
          <w:sz w:val="24"/>
          <w:szCs w:val="24"/>
        </w:rPr>
        <w:t>3)</w:t>
      </w:r>
      <w:r w:rsidR="009D5D27">
        <w:rPr>
          <w:rFonts w:ascii="Times New Roman" w:hAnsi="Times New Roman" w:cs="Times New Roman" w:hint="eastAsia"/>
          <w:sz w:val="24"/>
          <w:szCs w:val="24"/>
        </w:rPr>
        <w:t>.</w:t>
      </w:r>
    </w:p>
    <w:p w14:paraId="159E496D" w14:textId="61A567F8" w:rsidR="00A04B96" w:rsidRPr="00D66B74" w:rsidRDefault="00D66B74" w:rsidP="00D66B74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4E2175B" w14:textId="11BBDE30" w:rsidR="00A87771" w:rsidRDefault="00FA4260" w:rsidP="00A87771">
      <w:pPr>
        <w:spacing w:beforeLines="50" w:before="156"/>
        <w:jc w:val="center"/>
        <w:rPr>
          <w:rFonts w:ascii="Times New Roman" w:eastAsia="宋体" w:hAnsi="Times New Roman" w:cs="Times New Roman"/>
          <w:b/>
          <w:bCs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04681B72" wp14:editId="081E04C6">
            <wp:extent cx="5226148" cy="4292412"/>
            <wp:effectExtent l="0" t="0" r="0" b="0"/>
            <wp:docPr id="205085537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855375" name="图片 2050855375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4541" cy="4299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0A4321" w14:textId="77777777" w:rsidR="00471D0B" w:rsidRDefault="00471D0B" w:rsidP="004B3E7A">
      <w:pPr>
        <w:spacing w:beforeLines="50" w:before="156"/>
        <w:jc w:val="center"/>
        <w:rPr>
          <w:rFonts w:ascii="Times New Roman" w:eastAsia="宋体" w:hAnsi="Times New Roman" w:cs="Times New Roman"/>
          <w:b/>
          <w:bCs/>
          <w:sz w:val="24"/>
          <w:szCs w:val="24"/>
        </w:rPr>
      </w:pPr>
    </w:p>
    <w:p w14:paraId="68BDF2B9" w14:textId="28042E7B" w:rsidR="00D66B74" w:rsidRDefault="00DC2873" w:rsidP="005B7C26">
      <w:pPr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b/>
          <w:bCs/>
          <w:sz w:val="24"/>
          <w:szCs w:val="24"/>
        </w:rPr>
        <w:t>Figure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 xml:space="preserve"> S</w:t>
      </w:r>
      <w:r w:rsidR="00A04B96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10</w:t>
      </w:r>
      <w:r w:rsidR="003F44E2">
        <w:rPr>
          <w:rFonts w:ascii="Times New Roman" w:eastAsia="宋体" w:hAnsi="Times New Roman" w:cs="Times New Roman"/>
          <w:b/>
          <w:bCs/>
          <w:sz w:val="24"/>
          <w:szCs w:val="24"/>
        </w:rPr>
        <w:t>.</w:t>
      </w:r>
      <w:r w:rsidR="003F44E2">
        <w:rPr>
          <w:rFonts w:ascii="Times New Roman" w:eastAsia="宋体" w:hAnsi="Times New Roman" w:cs="Times New Roman"/>
          <w:sz w:val="24"/>
          <w:szCs w:val="24"/>
        </w:rPr>
        <w:t xml:space="preserve"> (</w:t>
      </w:r>
      <w:r w:rsidR="00FA4260">
        <w:rPr>
          <w:rFonts w:ascii="Times New Roman" w:eastAsia="宋体" w:hAnsi="Times New Roman" w:cs="Times New Roman" w:hint="eastAsia"/>
          <w:sz w:val="24"/>
          <w:szCs w:val="24"/>
        </w:rPr>
        <w:t>a</w:t>
      </w:r>
      <w:r w:rsidR="003F44E2">
        <w:rPr>
          <w:rFonts w:ascii="Times New Roman" w:eastAsia="宋体" w:hAnsi="Times New Roman" w:cs="Times New Roman"/>
          <w:sz w:val="24"/>
          <w:szCs w:val="24"/>
        </w:rPr>
        <w:t>)</w:t>
      </w:r>
      <w:r w:rsidR="00FA426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hAnsi="Times New Roman" w:cs="Times New Roman"/>
          <w:sz w:val="24"/>
          <w:szCs w:val="24"/>
        </w:rPr>
        <w:t>Effects of different concentrations of SBPNS</w:t>
      </w:r>
      <w:r w:rsidR="003F44E2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3F44E2">
        <w:rPr>
          <w:rFonts w:ascii="Times New Roman" w:hAnsi="Times New Roman" w:cs="Times New Roman"/>
          <w:sz w:val="24"/>
          <w:szCs w:val="24"/>
        </w:rPr>
        <w:t>on mitochondrial membrane potential (MMP) after exposure of cells (green fluorescence at 525 nm because of low mitochondrial membrane potential JC-10 in the form of green fluorescent monomers, red fluorescence at 590 nm because of high mitochondrial membrane potential JC-10 in the form of red fluorescent cluster) (n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hAnsi="Times New Roman" w:cs="Times New Roman"/>
          <w:sz w:val="24"/>
          <w:szCs w:val="24"/>
        </w:rPr>
        <w:t>=</w:t>
      </w:r>
      <w:r w:rsidR="000A445B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hAnsi="Times New Roman" w:cs="Times New Roman"/>
          <w:sz w:val="24"/>
          <w:szCs w:val="24"/>
        </w:rPr>
        <w:t>3)</w:t>
      </w:r>
      <w:r w:rsidR="003F44E2">
        <w:rPr>
          <w:rFonts w:ascii="Times New Roman" w:hAnsi="Times New Roman" w:cs="Times New Roman" w:hint="eastAsia"/>
          <w:sz w:val="24"/>
          <w:szCs w:val="24"/>
        </w:rPr>
        <w:t>.</w:t>
      </w:r>
      <w:r w:rsidR="00DA2B50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sz w:val="24"/>
          <w:szCs w:val="24"/>
        </w:rPr>
        <w:t>(</w:t>
      </w:r>
      <w:r w:rsidR="00FA4260">
        <w:rPr>
          <w:rFonts w:ascii="Times New Roman" w:eastAsia="宋体" w:hAnsi="Times New Roman" w:cs="Times New Roman" w:hint="eastAsia"/>
          <w:sz w:val="24"/>
          <w:szCs w:val="24"/>
        </w:rPr>
        <w:t>b</w:t>
      </w:r>
      <w:r w:rsidR="003F44E2">
        <w:rPr>
          <w:rFonts w:ascii="Times New Roman" w:eastAsia="宋体" w:hAnsi="Times New Roman" w:cs="Times New Roman"/>
          <w:sz w:val="24"/>
          <w:szCs w:val="24"/>
        </w:rPr>
        <w:t>)</w:t>
      </w:r>
      <w:r w:rsidR="00FA4260">
        <w:rPr>
          <w:rFonts w:ascii="Times New Roman" w:eastAsia="宋体" w:hAnsi="Times New Roman" w:cs="Times New Roman" w:hint="eastAsia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Effects of different concentrations of SBPNS and LBPNS on mitochondrial membrane potential</w:t>
      </w:r>
      <w:r w:rsidR="00710CD5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710CD5">
        <w:rPr>
          <w:rFonts w:ascii="Times New Roman" w:hAnsi="Times New Roman" w:cs="Times New Roman"/>
          <w:sz w:val="24"/>
          <w:szCs w:val="24"/>
        </w:rPr>
        <w:t>(MMP)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 xml:space="preserve"> after exposure of cells under </w:t>
      </w:r>
      <w:r w:rsidR="00DA2B50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an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inverted fluorescence microscope (E</w:t>
      </w:r>
      <w:r w:rsidR="00116BA5">
        <w:rPr>
          <w:rFonts w:ascii="Times New Roman" w:eastAsia="宋体" w:hAnsi="Times New Roman" w:cs="Times New Roman" w:hint="eastAsia"/>
          <w:kern w:val="0"/>
          <w:sz w:val="24"/>
          <w:szCs w:val="24"/>
        </w:rPr>
        <w:t>m</w:t>
      </w:r>
      <w:r w:rsidR="000A445B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116BA5">
        <w:rPr>
          <w:rFonts w:ascii="Times New Roman" w:eastAsia="宋体" w:hAnsi="Times New Roman" w:cs="Times New Roman" w:hint="eastAsia"/>
          <w:kern w:val="0"/>
          <w:sz w:val="24"/>
          <w:szCs w:val="24"/>
        </w:rPr>
        <w:t>525</w:t>
      </w:r>
      <w:r w:rsidR="00DA2B50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nm and E</w:t>
      </w:r>
      <w:r w:rsidR="00116BA5">
        <w:rPr>
          <w:rFonts w:ascii="Times New Roman" w:eastAsia="宋体" w:hAnsi="Times New Roman" w:cs="Times New Roman" w:hint="eastAsia"/>
          <w:kern w:val="0"/>
          <w:sz w:val="24"/>
          <w:szCs w:val="24"/>
        </w:rPr>
        <w:t>m</w:t>
      </w:r>
      <w:r w:rsidR="000A445B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=</w:t>
      </w:r>
      <w:r w:rsidR="000A445B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5</w:t>
      </w:r>
      <w:r w:rsidR="00116BA5">
        <w:rPr>
          <w:rFonts w:ascii="Times New Roman" w:eastAsia="宋体" w:hAnsi="Times New Roman" w:cs="Times New Roman" w:hint="eastAsia"/>
          <w:kern w:val="0"/>
          <w:sz w:val="24"/>
          <w:szCs w:val="24"/>
        </w:rPr>
        <w:t>90</w:t>
      </w:r>
      <w:r w:rsidR="00DA2B50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="003F44E2">
        <w:rPr>
          <w:rFonts w:ascii="Times New Roman" w:eastAsia="宋体" w:hAnsi="Times New Roman" w:cs="Times New Roman"/>
          <w:kern w:val="0"/>
          <w:sz w:val="24"/>
          <w:szCs w:val="24"/>
        </w:rPr>
        <w:t>nm).</w:t>
      </w:r>
    </w:p>
    <w:p w14:paraId="3527C0BC" w14:textId="3F38A537" w:rsidR="00471D0B" w:rsidRPr="00D66B74" w:rsidRDefault="00D66B74" w:rsidP="00D66B74">
      <w:pPr>
        <w:widowControl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kern w:val="0"/>
          <w:sz w:val="24"/>
          <w:szCs w:val="24"/>
        </w:rPr>
        <w:br w:type="page"/>
      </w:r>
    </w:p>
    <w:p w14:paraId="5119CF20" w14:textId="1028E7C9" w:rsidR="00471D0B" w:rsidRDefault="003F44E2" w:rsidP="00710CD5">
      <w:pPr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lastRenderedPageBreak/>
        <w:t>Table S1.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  <w:r w:rsidR="00FB5A68">
        <w:rPr>
          <w:rFonts w:ascii="Times New Roman" w:eastAsia="宋体" w:hAnsi="Times New Roman" w:cs="Times New Roman" w:hint="eastAsia"/>
          <w:kern w:val="0"/>
          <w:sz w:val="24"/>
          <w:szCs w:val="24"/>
        </w:rPr>
        <w:t>D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iagram of changes in intracellular ROS content (</w:t>
      </w:r>
      <w:r w:rsidR="00DC2873">
        <w:rPr>
          <w:rFonts w:ascii="Times New Roman" w:eastAsia="宋体" w:hAnsi="Times New Roman" w:cs="Times New Roman"/>
          <w:kern w:val="0"/>
          <w:sz w:val="24"/>
          <w:szCs w:val="24"/>
        </w:rPr>
        <w:t>Figure</w:t>
      </w:r>
      <w:r w:rsidR="002210DD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5</w:t>
      </w:r>
      <w:r w:rsidR="007A3A7D">
        <w:rPr>
          <w:rFonts w:ascii="Times New Roman" w:eastAsia="宋体" w:hAnsi="Times New Roman" w:cs="Times New Roman" w:hint="eastAsia"/>
          <w:kern w:val="0"/>
          <w:sz w:val="24"/>
          <w:szCs w:val="24"/>
        </w:rPr>
        <w:t>c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) corresponding to flow data.</w:t>
      </w:r>
    </w:p>
    <w:p w14:paraId="662BEEDE" w14:textId="77777777" w:rsidR="00471D0B" w:rsidRDefault="00471D0B">
      <w:pPr>
        <w:spacing w:beforeLines="50" w:before="156"/>
        <w:rPr>
          <w:rFonts w:ascii="Times New Roman" w:eastAsia="宋体" w:hAnsi="Times New Roman" w:cs="Times New Roman"/>
          <w:kern w:val="0"/>
          <w:sz w:val="24"/>
          <w:szCs w:val="24"/>
        </w:rPr>
      </w:pPr>
    </w:p>
    <w:tbl>
      <w:tblPr>
        <w:tblStyle w:val="a8"/>
        <w:tblW w:w="0" w:type="auto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1560"/>
        <w:gridCol w:w="1275"/>
        <w:gridCol w:w="1276"/>
        <w:gridCol w:w="1276"/>
        <w:gridCol w:w="1276"/>
      </w:tblGrid>
      <w:tr w:rsidR="00471D0B" w14:paraId="15B173F6" w14:textId="77777777">
        <w:trPr>
          <w:jc w:val="center"/>
        </w:trPr>
        <w:tc>
          <w:tcPr>
            <w:tcW w:w="562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3E77983C" w14:textId="77777777" w:rsidR="00471D0B" w:rsidRDefault="00471D0B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0D180A9E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Sample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6E5C1A8D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Gate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5E73742E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Count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0E3CE45A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% All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8" w:space="0" w:color="auto"/>
            </w:tcBorders>
            <w:shd w:val="clear" w:color="auto" w:fill="E7E6E6" w:themeFill="background2"/>
          </w:tcPr>
          <w:p w14:paraId="511109CA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b/>
                <w:sz w:val="24"/>
                <w:szCs w:val="24"/>
              </w:rPr>
              <w:t>Median X</w:t>
            </w:r>
          </w:p>
        </w:tc>
      </w:tr>
      <w:tr w:rsidR="00471D0B" w14:paraId="2FC6D6EF" w14:textId="77777777">
        <w:trPr>
          <w:jc w:val="center"/>
        </w:trPr>
        <w:tc>
          <w:tcPr>
            <w:tcW w:w="562" w:type="dxa"/>
            <w:tcBorders>
              <w:top w:val="single" w:sz="8" w:space="0" w:color="auto"/>
            </w:tcBorders>
          </w:tcPr>
          <w:p w14:paraId="53BA5538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60" w:type="dxa"/>
            <w:tcBorders>
              <w:top w:val="single" w:sz="8" w:space="0" w:color="auto"/>
            </w:tcBorders>
          </w:tcPr>
          <w:p w14:paraId="2E642FAB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SBPNS</w:t>
            </w:r>
          </w:p>
        </w:tc>
        <w:tc>
          <w:tcPr>
            <w:tcW w:w="1275" w:type="dxa"/>
            <w:tcBorders>
              <w:top w:val="single" w:sz="8" w:space="0" w:color="auto"/>
            </w:tcBorders>
          </w:tcPr>
          <w:p w14:paraId="5485834B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276" w:type="dxa"/>
            <w:tcBorders>
              <w:top w:val="single" w:sz="8" w:space="0" w:color="auto"/>
            </w:tcBorders>
          </w:tcPr>
          <w:p w14:paraId="210ABBB9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9,405</w:t>
            </w:r>
          </w:p>
        </w:tc>
        <w:tc>
          <w:tcPr>
            <w:tcW w:w="1276" w:type="dxa"/>
            <w:tcBorders>
              <w:top w:val="single" w:sz="8" w:space="0" w:color="auto"/>
            </w:tcBorders>
          </w:tcPr>
          <w:p w14:paraId="33D07C21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93.48</w:t>
            </w:r>
          </w:p>
        </w:tc>
        <w:tc>
          <w:tcPr>
            <w:tcW w:w="1276" w:type="dxa"/>
            <w:tcBorders>
              <w:top w:val="single" w:sz="8" w:space="0" w:color="auto"/>
            </w:tcBorders>
          </w:tcPr>
          <w:p w14:paraId="6036C23F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107</w:t>
            </w:r>
          </w:p>
        </w:tc>
      </w:tr>
      <w:tr w:rsidR="00471D0B" w14:paraId="02D4DAFB" w14:textId="77777777">
        <w:trPr>
          <w:jc w:val="center"/>
        </w:trPr>
        <w:tc>
          <w:tcPr>
            <w:tcW w:w="562" w:type="dxa"/>
          </w:tcPr>
          <w:p w14:paraId="7A3065D0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60" w:type="dxa"/>
          </w:tcPr>
          <w:p w14:paraId="2DBED858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LBPNS</w:t>
            </w:r>
          </w:p>
        </w:tc>
        <w:tc>
          <w:tcPr>
            <w:tcW w:w="1275" w:type="dxa"/>
          </w:tcPr>
          <w:p w14:paraId="0D7E8482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276" w:type="dxa"/>
          </w:tcPr>
          <w:p w14:paraId="49AE2F37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9,265</w:t>
            </w:r>
          </w:p>
        </w:tc>
        <w:tc>
          <w:tcPr>
            <w:tcW w:w="1276" w:type="dxa"/>
          </w:tcPr>
          <w:p w14:paraId="3A562F77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91.52</w:t>
            </w:r>
          </w:p>
        </w:tc>
        <w:tc>
          <w:tcPr>
            <w:tcW w:w="1276" w:type="dxa"/>
          </w:tcPr>
          <w:p w14:paraId="1767C3F2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98</w:t>
            </w:r>
          </w:p>
        </w:tc>
      </w:tr>
      <w:tr w:rsidR="00471D0B" w14:paraId="2F8E092D" w14:textId="77777777">
        <w:trPr>
          <w:jc w:val="center"/>
        </w:trPr>
        <w:tc>
          <w:tcPr>
            <w:tcW w:w="562" w:type="dxa"/>
          </w:tcPr>
          <w:p w14:paraId="3AE18E46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60" w:type="dxa"/>
          </w:tcPr>
          <w:p w14:paraId="7A1BEB05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Control</w:t>
            </w:r>
          </w:p>
        </w:tc>
        <w:tc>
          <w:tcPr>
            <w:tcW w:w="1275" w:type="dxa"/>
          </w:tcPr>
          <w:p w14:paraId="1C141CA0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276" w:type="dxa"/>
          </w:tcPr>
          <w:p w14:paraId="4A9AD8B4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9,309</w:t>
            </w:r>
          </w:p>
        </w:tc>
        <w:tc>
          <w:tcPr>
            <w:tcW w:w="1276" w:type="dxa"/>
          </w:tcPr>
          <w:p w14:paraId="31783C2C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92.74</w:t>
            </w:r>
          </w:p>
        </w:tc>
        <w:tc>
          <w:tcPr>
            <w:tcW w:w="1276" w:type="dxa"/>
          </w:tcPr>
          <w:p w14:paraId="6CA92219" w14:textId="77777777" w:rsidR="00471D0B" w:rsidRDefault="003F44E2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80</w:t>
            </w:r>
          </w:p>
        </w:tc>
      </w:tr>
    </w:tbl>
    <w:p w14:paraId="6951B5AA" w14:textId="77777777" w:rsidR="00D66B74" w:rsidRDefault="00D66B74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</w:p>
    <w:p w14:paraId="7702D2FE" w14:textId="4E5323A9" w:rsidR="00471D0B" w:rsidRDefault="003F44E2" w:rsidP="00D66B74">
      <w:pPr>
        <w:widowControl/>
        <w:jc w:val="left"/>
        <w:rPr>
          <w:rFonts w:ascii="Times New Roman" w:eastAsia="宋体" w:hAnsi="Times New Roman" w:cs="Times New Roman"/>
          <w:sz w:val="24"/>
          <w:szCs w:val="24"/>
        </w:rPr>
      </w:pPr>
      <w:r>
        <w:rPr>
          <w:rFonts w:ascii="Times New Roman" w:eastAsia="宋体" w:hAnsi="Times New Roman" w:cs="Times New Roman" w:hint="eastAsia"/>
          <w:sz w:val="24"/>
          <w:szCs w:val="24"/>
        </w:rPr>
        <w:fldChar w:fldCharType="begin"/>
      </w:r>
      <w:r>
        <w:rPr>
          <w:rFonts w:ascii="Times New Roman" w:eastAsia="宋体" w:hAnsi="Times New Roman" w:cs="Times New Roman" w:hint="eastAsia"/>
          <w:sz w:val="24"/>
          <w:szCs w:val="24"/>
        </w:rPr>
        <w:instrText xml:space="preserve"> ADDIN EN.REFLIST </w:instrText>
      </w:r>
      <w:r>
        <w:rPr>
          <w:rFonts w:ascii="Times New Roman" w:eastAsia="宋体" w:hAnsi="Times New Roman" w:cs="Times New Roman" w:hint="eastAsia"/>
          <w:sz w:val="24"/>
          <w:szCs w:val="24"/>
        </w:rPr>
        <w:fldChar w:fldCharType="end"/>
      </w:r>
    </w:p>
    <w:sectPr w:rsidR="00471D0B" w:rsidSect="00E82900">
      <w:pgSz w:w="11906" w:h="16838"/>
      <w:pgMar w:top="1440" w:right="1800" w:bottom="1440" w:left="1800" w:header="851" w:footer="992" w:gutter="0"/>
      <w:lnNumType w:countBy="1" w:restart="continuous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A0A07" w14:textId="77777777" w:rsidR="000D3624" w:rsidRDefault="000D3624" w:rsidP="00DA2B50">
      <w:pPr>
        <w:rPr>
          <w:rFonts w:hint="eastAsia"/>
        </w:rPr>
      </w:pPr>
      <w:r>
        <w:separator/>
      </w:r>
    </w:p>
  </w:endnote>
  <w:endnote w:type="continuationSeparator" w:id="0">
    <w:p w14:paraId="0BE5BFB9" w14:textId="77777777" w:rsidR="000D3624" w:rsidRDefault="000D3624" w:rsidP="00DA2B5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1394F" w14:textId="77777777" w:rsidR="000D3624" w:rsidRDefault="000D3624" w:rsidP="00DA2B50">
      <w:pPr>
        <w:rPr>
          <w:rFonts w:hint="eastAsia"/>
        </w:rPr>
      </w:pPr>
      <w:r>
        <w:separator/>
      </w:r>
    </w:p>
  </w:footnote>
  <w:footnote w:type="continuationSeparator" w:id="0">
    <w:p w14:paraId="6C132DA4" w14:textId="77777777" w:rsidR="000D3624" w:rsidRDefault="000D3624" w:rsidP="00DA2B50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mZhZDVmNWJhMDFmMDg1N2RkYjUwYWRjMzdlODJmZDQifQ==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Chinese Std GBT7714 (numeric)&lt;/Style&gt;&lt;LeftDelim&gt;{&lt;/LeftDelim&gt;&lt;RightDelim&gt;}&lt;/RightDelim&gt;&lt;FontName&gt;等线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0vv22xtyapwe1e95xtvsp0rtarerxf0w00t&quot;&gt;My EndNote Library&lt;record-ids&gt;&lt;item&gt;198&lt;/item&gt;&lt;/record-ids&gt;&lt;/item&gt;&lt;/Libraries&gt;"/>
  </w:docVars>
  <w:rsids>
    <w:rsidRoot w:val="004D42EC"/>
    <w:rsid w:val="0000409E"/>
    <w:rsid w:val="00030DCB"/>
    <w:rsid w:val="000606D6"/>
    <w:rsid w:val="000679DD"/>
    <w:rsid w:val="00067DA1"/>
    <w:rsid w:val="000A091E"/>
    <w:rsid w:val="000A445B"/>
    <w:rsid w:val="000B3DB6"/>
    <w:rsid w:val="000B48A5"/>
    <w:rsid w:val="000C71F6"/>
    <w:rsid w:val="000D3624"/>
    <w:rsid w:val="000D3777"/>
    <w:rsid w:val="000E5AB9"/>
    <w:rsid w:val="000F17A0"/>
    <w:rsid w:val="00101E15"/>
    <w:rsid w:val="00110226"/>
    <w:rsid w:val="00116BA5"/>
    <w:rsid w:val="0012024D"/>
    <w:rsid w:val="00120BBC"/>
    <w:rsid w:val="00130C0E"/>
    <w:rsid w:val="00136C0F"/>
    <w:rsid w:val="0014174F"/>
    <w:rsid w:val="001434A0"/>
    <w:rsid w:val="00151B85"/>
    <w:rsid w:val="0015304C"/>
    <w:rsid w:val="00170CC6"/>
    <w:rsid w:val="00173FED"/>
    <w:rsid w:val="00182271"/>
    <w:rsid w:val="00182BA3"/>
    <w:rsid w:val="0018511C"/>
    <w:rsid w:val="00197384"/>
    <w:rsid w:val="001A6A92"/>
    <w:rsid w:val="001C066B"/>
    <w:rsid w:val="00200792"/>
    <w:rsid w:val="002210DD"/>
    <w:rsid w:val="00222EAA"/>
    <w:rsid w:val="00223D16"/>
    <w:rsid w:val="00236A14"/>
    <w:rsid w:val="002630BB"/>
    <w:rsid w:val="00270CF9"/>
    <w:rsid w:val="0029371F"/>
    <w:rsid w:val="002B10A2"/>
    <w:rsid w:val="002B4FED"/>
    <w:rsid w:val="002C3383"/>
    <w:rsid w:val="002E057C"/>
    <w:rsid w:val="002F0564"/>
    <w:rsid w:val="00306FF7"/>
    <w:rsid w:val="003152F2"/>
    <w:rsid w:val="00325EEA"/>
    <w:rsid w:val="003360FF"/>
    <w:rsid w:val="003461F9"/>
    <w:rsid w:val="00355AAF"/>
    <w:rsid w:val="00370073"/>
    <w:rsid w:val="00372ECC"/>
    <w:rsid w:val="003817DF"/>
    <w:rsid w:val="0039022B"/>
    <w:rsid w:val="003A7D2D"/>
    <w:rsid w:val="003C2303"/>
    <w:rsid w:val="003E4FBA"/>
    <w:rsid w:val="003E630F"/>
    <w:rsid w:val="003F44E2"/>
    <w:rsid w:val="00422754"/>
    <w:rsid w:val="00434A01"/>
    <w:rsid w:val="00454588"/>
    <w:rsid w:val="004623DA"/>
    <w:rsid w:val="00471D0B"/>
    <w:rsid w:val="00474413"/>
    <w:rsid w:val="00477C20"/>
    <w:rsid w:val="004B3E7A"/>
    <w:rsid w:val="004B78AA"/>
    <w:rsid w:val="004C4489"/>
    <w:rsid w:val="004C7C4D"/>
    <w:rsid w:val="004D3BF8"/>
    <w:rsid w:val="004D42EC"/>
    <w:rsid w:val="004E578A"/>
    <w:rsid w:val="004E6450"/>
    <w:rsid w:val="004F4227"/>
    <w:rsid w:val="004F6F7F"/>
    <w:rsid w:val="004F7826"/>
    <w:rsid w:val="005339B0"/>
    <w:rsid w:val="005418E5"/>
    <w:rsid w:val="00561885"/>
    <w:rsid w:val="005648D5"/>
    <w:rsid w:val="00570290"/>
    <w:rsid w:val="00573365"/>
    <w:rsid w:val="005836F7"/>
    <w:rsid w:val="00596403"/>
    <w:rsid w:val="005B1877"/>
    <w:rsid w:val="005B5DB1"/>
    <w:rsid w:val="005B7C26"/>
    <w:rsid w:val="005D5475"/>
    <w:rsid w:val="005F4251"/>
    <w:rsid w:val="005F57FA"/>
    <w:rsid w:val="0060476E"/>
    <w:rsid w:val="00620130"/>
    <w:rsid w:val="00633B83"/>
    <w:rsid w:val="00633DC1"/>
    <w:rsid w:val="006368D9"/>
    <w:rsid w:val="00636A52"/>
    <w:rsid w:val="00647C1D"/>
    <w:rsid w:val="00655DD3"/>
    <w:rsid w:val="00665098"/>
    <w:rsid w:val="00672B63"/>
    <w:rsid w:val="00681FB0"/>
    <w:rsid w:val="006A3551"/>
    <w:rsid w:val="006B5B27"/>
    <w:rsid w:val="006E202E"/>
    <w:rsid w:val="006E2FA6"/>
    <w:rsid w:val="00710CD5"/>
    <w:rsid w:val="0072717C"/>
    <w:rsid w:val="00743D96"/>
    <w:rsid w:val="00745D13"/>
    <w:rsid w:val="00764B98"/>
    <w:rsid w:val="00784AA2"/>
    <w:rsid w:val="007A3A7D"/>
    <w:rsid w:val="007C3F72"/>
    <w:rsid w:val="007C4D3B"/>
    <w:rsid w:val="00820B3F"/>
    <w:rsid w:val="00841C0B"/>
    <w:rsid w:val="00850D95"/>
    <w:rsid w:val="008577D9"/>
    <w:rsid w:val="0087300D"/>
    <w:rsid w:val="00897709"/>
    <w:rsid w:val="008B41B7"/>
    <w:rsid w:val="008C17B5"/>
    <w:rsid w:val="008D25EC"/>
    <w:rsid w:val="008F16B1"/>
    <w:rsid w:val="00914B85"/>
    <w:rsid w:val="009218E4"/>
    <w:rsid w:val="009319A1"/>
    <w:rsid w:val="00931B77"/>
    <w:rsid w:val="00967960"/>
    <w:rsid w:val="0097253C"/>
    <w:rsid w:val="009820FF"/>
    <w:rsid w:val="009D5D27"/>
    <w:rsid w:val="009D7728"/>
    <w:rsid w:val="009F60C2"/>
    <w:rsid w:val="00A04B96"/>
    <w:rsid w:val="00A408D7"/>
    <w:rsid w:val="00A44A0C"/>
    <w:rsid w:val="00A456E1"/>
    <w:rsid w:val="00A66D50"/>
    <w:rsid w:val="00A87771"/>
    <w:rsid w:val="00AA220D"/>
    <w:rsid w:val="00AA22E9"/>
    <w:rsid w:val="00AC0F8E"/>
    <w:rsid w:val="00AD3E7E"/>
    <w:rsid w:val="00B02650"/>
    <w:rsid w:val="00B10926"/>
    <w:rsid w:val="00B161C8"/>
    <w:rsid w:val="00B37B37"/>
    <w:rsid w:val="00B50581"/>
    <w:rsid w:val="00B60DAB"/>
    <w:rsid w:val="00B75736"/>
    <w:rsid w:val="00B9266B"/>
    <w:rsid w:val="00BA1091"/>
    <w:rsid w:val="00BB3F3B"/>
    <w:rsid w:val="00BC017B"/>
    <w:rsid w:val="00BD11E4"/>
    <w:rsid w:val="00BE2C22"/>
    <w:rsid w:val="00C34A67"/>
    <w:rsid w:val="00C3792B"/>
    <w:rsid w:val="00C657AC"/>
    <w:rsid w:val="00C765F5"/>
    <w:rsid w:val="00C905A4"/>
    <w:rsid w:val="00CA3208"/>
    <w:rsid w:val="00CB609F"/>
    <w:rsid w:val="00D002F4"/>
    <w:rsid w:val="00D03787"/>
    <w:rsid w:val="00D20A3C"/>
    <w:rsid w:val="00D4663B"/>
    <w:rsid w:val="00D61466"/>
    <w:rsid w:val="00D66B74"/>
    <w:rsid w:val="00D74DC7"/>
    <w:rsid w:val="00DA2B50"/>
    <w:rsid w:val="00DA67B7"/>
    <w:rsid w:val="00DC2873"/>
    <w:rsid w:val="00DC40E9"/>
    <w:rsid w:val="00DF5F85"/>
    <w:rsid w:val="00E05817"/>
    <w:rsid w:val="00E07540"/>
    <w:rsid w:val="00E42B8D"/>
    <w:rsid w:val="00E66ADB"/>
    <w:rsid w:val="00E768E3"/>
    <w:rsid w:val="00E80152"/>
    <w:rsid w:val="00E82900"/>
    <w:rsid w:val="00EA26B5"/>
    <w:rsid w:val="00ED6EF9"/>
    <w:rsid w:val="00F0072C"/>
    <w:rsid w:val="00F04115"/>
    <w:rsid w:val="00F07B10"/>
    <w:rsid w:val="00F37D42"/>
    <w:rsid w:val="00F4000F"/>
    <w:rsid w:val="00F51427"/>
    <w:rsid w:val="00F776C1"/>
    <w:rsid w:val="00FA3886"/>
    <w:rsid w:val="00FA4260"/>
    <w:rsid w:val="00FA4C44"/>
    <w:rsid w:val="00FA5901"/>
    <w:rsid w:val="00FB5A68"/>
    <w:rsid w:val="00FC13DA"/>
    <w:rsid w:val="00FC563F"/>
    <w:rsid w:val="00FD0DCD"/>
    <w:rsid w:val="00FD6B0F"/>
    <w:rsid w:val="229779FD"/>
    <w:rsid w:val="2F6D6520"/>
    <w:rsid w:val="568D058E"/>
    <w:rsid w:val="59B428D2"/>
    <w:rsid w:val="66B14FA6"/>
    <w:rsid w:val="6C9B5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C6EF25A"/>
  <w15:docId w15:val="{A9288B11-15C1-4B1F-8251-F046A3E2E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3C2303"/>
    <w:pPr>
      <w:keepNext/>
      <w:keepLines/>
      <w:widowControl/>
      <w:shd w:val="clear" w:color="auto" w:fill="FFFFFF"/>
      <w:spacing w:before="120" w:line="360" w:lineRule="auto"/>
      <w:outlineLvl w:val="2"/>
    </w:pPr>
    <w:rPr>
      <w:rFonts w:ascii="Times New Roman" w:eastAsia="Times New Roman" w:hAnsi="Times New Roman" w:cs="Times New Roman"/>
      <w:b/>
      <w:bCs/>
      <w:color w:val="0D0D0D"/>
      <w:kern w:val="0"/>
      <w:sz w:val="24"/>
      <w:szCs w:val="32"/>
      <w:shd w:val="clear" w:color="auto" w:fill="FFFF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rPr>
      <w:sz w:val="24"/>
    </w:rPr>
  </w:style>
  <w:style w:type="table" w:styleId="a8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customStyle="1" w:styleId="EndNoteBibliographyTitle">
    <w:name w:val="EndNote Bibliography Title"/>
    <w:qFormat/>
    <w:pPr>
      <w:jc w:val="center"/>
    </w:pPr>
    <w:rPr>
      <w:rFonts w:ascii="等线" w:eastAsia="等线" w:hAnsi="等线" w:cs="等线" w:hint="eastAsia"/>
      <w:kern w:val="2"/>
      <w:szCs w:val="22"/>
    </w:rPr>
  </w:style>
  <w:style w:type="paragraph" w:customStyle="1" w:styleId="EndNoteBibliography">
    <w:name w:val="EndNote Bibliography"/>
    <w:qFormat/>
    <w:rPr>
      <w:rFonts w:ascii="等线" w:eastAsia="等线" w:hAnsi="等线" w:cs="等线" w:hint="eastAsia"/>
      <w:kern w:val="2"/>
      <w:szCs w:val="22"/>
    </w:rPr>
  </w:style>
  <w:style w:type="character" w:customStyle="1" w:styleId="30">
    <w:name w:val="标题 3 字符"/>
    <w:basedOn w:val="a0"/>
    <w:link w:val="3"/>
    <w:uiPriority w:val="9"/>
    <w:qFormat/>
    <w:rsid w:val="003C2303"/>
    <w:rPr>
      <w:rFonts w:ascii="Times New Roman" w:eastAsia="Times New Roman" w:hAnsi="Times New Roman" w:cs="Times New Roman"/>
      <w:b/>
      <w:bCs/>
      <w:color w:val="0D0D0D"/>
      <w:sz w:val="24"/>
      <w:szCs w:val="32"/>
      <w:shd w:val="clear" w:color="auto" w:fill="FFFFFF"/>
    </w:rPr>
  </w:style>
  <w:style w:type="paragraph" w:styleId="a9">
    <w:name w:val="Body Text"/>
    <w:basedOn w:val="a"/>
    <w:link w:val="aa"/>
    <w:uiPriority w:val="1"/>
    <w:qFormat/>
    <w:rsid w:val="00AA22E9"/>
    <w:pPr>
      <w:autoSpaceDE w:val="0"/>
      <w:autoSpaceDN w:val="0"/>
      <w:adjustRightInd w:val="0"/>
      <w:ind w:left="117"/>
      <w:jc w:val="left"/>
    </w:pPr>
    <w:rPr>
      <w:rFonts w:ascii="Times New Roman" w:hAnsi="Times New Roman" w:cs="Times New Roman"/>
      <w:kern w:val="0"/>
      <w:szCs w:val="21"/>
    </w:rPr>
  </w:style>
  <w:style w:type="character" w:customStyle="1" w:styleId="aa">
    <w:name w:val="正文文本 字符"/>
    <w:basedOn w:val="a0"/>
    <w:link w:val="a9"/>
    <w:uiPriority w:val="99"/>
    <w:rsid w:val="00AA22E9"/>
    <w:rPr>
      <w:rFonts w:ascii="Times New Roman" w:hAnsi="Times New Roman" w:cs="Times New Roman"/>
      <w:sz w:val="21"/>
      <w:szCs w:val="21"/>
    </w:rPr>
  </w:style>
  <w:style w:type="paragraph" w:customStyle="1" w:styleId="BT0">
    <w:name w:val="BT0"/>
    <w:basedOn w:val="a"/>
    <w:rsid w:val="00AA22E9"/>
    <w:pPr>
      <w:topLinePunct/>
      <w:spacing w:line="400" w:lineRule="exact"/>
      <w:outlineLvl w:val="0"/>
    </w:pPr>
    <w:rPr>
      <w:rFonts w:ascii="Times New Roman" w:eastAsia="宋体" w:hAnsi="Times New Roman" w:cs="Times New Roman"/>
      <w:b/>
      <w:bCs/>
      <w:color w:val="000000"/>
      <w:sz w:val="36"/>
      <w:szCs w:val="24"/>
    </w:rPr>
  </w:style>
  <w:style w:type="character" w:styleId="ab">
    <w:name w:val="line number"/>
    <w:basedOn w:val="a0"/>
    <w:uiPriority w:val="99"/>
    <w:semiHidden/>
    <w:unhideWhenUsed/>
    <w:rsid w:val="00E829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371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43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69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36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13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134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47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43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27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808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52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842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0170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961386-2FEF-4578-9C5F-6452CED047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501</TotalTime>
  <Pages>1</Pages>
  <Words>2497</Words>
  <Characters>13162</Characters>
  <Application>Microsoft Office Word</Application>
  <DocSecurity>0</DocSecurity>
  <Lines>299</Lines>
  <Paragraphs>82</Paragraphs>
  <ScaleCrop>false</ScaleCrop>
  <Company/>
  <LinksUpToDate>false</LinksUpToDate>
  <CharactersWithSpaces>15577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韵淞 徐</cp:lastModifiedBy>
  <cp:revision>68</cp:revision>
  <dcterms:created xsi:type="dcterms:W3CDTF">2024-07-13T12:46:00Z</dcterms:created>
  <dcterms:modified xsi:type="dcterms:W3CDTF">2025-08-17T06:59:00Z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BD97F2635BDF440080FC1FECD6E5E806_12</vt:lpwstr>
  </property>
</Properties>
</file>